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0" w:name="_GoBack"/>
      <w:bookmarkEnd w:id="0"/>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桂农科发〔2022〕33号</w:t>
      </w:r>
      <mc:AlternateContent>
        <mc:Choice Requires="wpsCustomData">
          <wpsCustomData:docfieldEnd id="0"/>
        </mc:Choice>
      </mc:AlternateContent>
    </w:p>
    <w:tbl>
      <w:tblPr>
        <w:tblStyle w:val="6"/>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PrEx>
        <w:trPr>
          <w:trHeight w:val="830" w:hRule="atLeast"/>
        </w:trPr>
        <w:tc>
          <w:tcPr>
            <w:tcW w:w="9072" w:type="dxa"/>
            <w:tcBorders>
              <w:left w:val="nil"/>
              <w:bottom w:val="nil"/>
              <w:right w:val="nil"/>
            </w:tcBorders>
            <w:noWrap w:val="0"/>
            <w:vAlign w:val="top"/>
          </w:tcPr>
          <w:p>
            <w:pPr>
              <w:widowControl/>
              <w:spacing w:line="500" w:lineRule="exact"/>
              <w:jc w:val="left"/>
              <w:rPr>
                <w:rFonts w:ascii="Times New Roman" w:hAnsi="Times New Roman" w:eastAsia="方正小标宋简体"/>
                <w:bCs/>
                <w:sz w:val="44"/>
                <w:szCs w:val="44"/>
              </w:rPr>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z w:val="44"/>
          <w:szCs w:val="44"/>
          <w:lang w:val="en-US" w:eastAsia="zh-CN"/>
        </w:rPr>
        <w:t>自治区农科院关于印发《广西壮族自治区农业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科学院培训费管理办法（修订）》的通知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院机关各部门、院属各单位：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广西壮族自治区农业科学院培训费管理办法（修订）</w:t>
      </w:r>
      <w:r>
        <w:rPr>
          <w:rFonts w:hint="eastAsia" w:ascii="仿宋_GB2312" w:hAnsi="仿宋_GB2312" w:eastAsia="仿宋_GB2312" w:cs="仿宋_GB2312"/>
          <w:b w:val="0"/>
          <w:bCs w:val="0"/>
          <w:color w:val="auto"/>
          <w:kern w:val="0"/>
          <w:sz w:val="32"/>
          <w:szCs w:val="32"/>
          <w:lang w:val="en-US" w:eastAsia="zh-CN" w:bidi="ar-SA"/>
        </w:rPr>
        <w:t>》已经院办公会审议通过，现予印发，请认真贯彻执行。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广西壮族自治区农业科学院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2022年9月9日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5"/>
        <w:shd w:val="clear" w:color="auto" w:fill="FFFFFF"/>
        <w:spacing w:before="0" w:beforeAutospacing="0" w:after="0" w:afterAutospacing="0" w:line="580" w:lineRule="exact"/>
        <w:jc w:val="center"/>
        <w:rPr>
          <w:rFonts w:hint="eastAsia" w:ascii="方正小标宋简体" w:hAnsi="方正小标宋简体" w:eastAsia="方正小标宋简体" w:cs="方正小标宋简体"/>
          <w:sz w:val="44"/>
          <w:szCs w:val="44"/>
          <w:lang w:val="en-US" w:eastAsia="zh-CN"/>
        </w:rPr>
      </w:pPr>
    </w:p>
    <w:p>
      <w:pPr>
        <w:pStyle w:val="5"/>
        <w:shd w:val="clear" w:color="auto" w:fill="FFFFFF"/>
        <w:spacing w:before="0" w:beforeAutospacing="0" w:after="0" w:afterAutospacing="0"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广西壮族自治区农业科学院培训费管理办法</w:t>
      </w:r>
    </w:p>
    <w:p>
      <w:pPr>
        <w:pStyle w:val="5"/>
        <w:shd w:val="clear" w:color="auto" w:fill="FFFFFF"/>
        <w:spacing w:before="0" w:beforeAutospacing="0" w:after="0" w:afterAutospacing="0" w:line="580" w:lineRule="exact"/>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（修订）</w:t>
      </w:r>
    </w:p>
    <w:p>
      <w:pPr>
        <w:keepNext w:val="0"/>
        <w:keepLines w:val="0"/>
        <w:pageBreakBefore w:val="0"/>
        <w:widowControl w:val="0"/>
        <w:kinsoku/>
        <w:wordWrap/>
        <w:overflowPunct/>
        <w:topLinePunct w:val="0"/>
        <w:autoSpaceDE/>
        <w:autoSpaceDN/>
        <w:bidi w:val="0"/>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第一章  总</w:t>
      </w:r>
      <w:r>
        <w:rPr>
          <w:rFonts w:hint="eastAsia" w:ascii="黑体" w:hAnsi="黑体" w:eastAsia="黑体" w:cs="宋体"/>
          <w:bCs/>
          <w:kern w:val="0"/>
          <w:sz w:val="32"/>
          <w:szCs w:val="32"/>
          <w:highlight w:val="none"/>
          <w:lang w:val="en-US" w:eastAsia="zh-CN"/>
        </w:rPr>
        <w:t xml:space="preserve">  </w:t>
      </w:r>
      <w:r>
        <w:rPr>
          <w:rFonts w:hint="eastAsia" w:ascii="黑体" w:hAnsi="黑体" w:eastAsia="黑体" w:cs="宋体"/>
          <w:bCs/>
          <w:kern w:val="0"/>
          <w:sz w:val="32"/>
          <w:szCs w:val="32"/>
          <w:highlight w:val="none"/>
        </w:rPr>
        <w:t>则</w:t>
      </w:r>
    </w:p>
    <w:p>
      <w:pPr>
        <w:keepNext w:val="0"/>
        <w:keepLines w:val="0"/>
        <w:pageBreakBefore w:val="0"/>
        <w:widowControl/>
        <w:shd w:val="clear" w:color="auto" w:fill="FFFFFF"/>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宋体"/>
          <w:bCs/>
          <w:kern w:val="0"/>
          <w:sz w:val="32"/>
          <w:szCs w:val="32"/>
          <w:highlight w:val="none"/>
        </w:rPr>
        <w:t>第一条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 w:val="0"/>
          <w:bCs w:val="0"/>
          <w:color w:val="auto"/>
          <w:sz w:val="32"/>
          <w:szCs w:val="32"/>
          <w:lang w:val="en-US" w:eastAsia="zh-CN"/>
        </w:rPr>
        <w:t>为进一步规范我院培训经费管理，依据《干部教育培训工作条例》《中央和国家机关培训费管理办法》（财行〔2016〕540号）、《关于进一步完善中央财政科研项目资金管理等政策的若干意见》（财科教〔2017〕6号）、《广西加大财政科技经费投入与改进财政科技经费管理实施办法》（桂政办发〔2016〕115号）、《关于进一步抓好财政科研领域改革政策落实工作的通知》（桂财教〔2017〕95号）和《广西壮族自治区本级培训费管理办法》（桂财行〔2018〕3号）的有关要求，结合我院实际，制定本办法。</w:t>
      </w:r>
    </w:p>
    <w:p>
      <w:pPr>
        <w:keepNext w:val="0"/>
        <w:keepLines w:val="0"/>
        <w:pageBreakBefore w:val="0"/>
        <w:kinsoku/>
        <w:wordWrap/>
        <w:overflowPunct/>
        <w:topLinePunct w:val="0"/>
        <w:autoSpaceDE/>
        <w:autoSpaceDN/>
        <w:bidi w:val="0"/>
        <w:snapToGrid w:val="0"/>
        <w:spacing w:line="580" w:lineRule="exact"/>
        <w:ind w:firstLine="645"/>
        <w:textAlignment w:val="auto"/>
        <w:rPr>
          <w:rFonts w:hint="eastAsia" w:ascii="仿宋" w:hAnsi="仿宋" w:eastAsia="仿宋" w:cs="宋体"/>
          <w:bCs/>
          <w:kern w:val="0"/>
          <w:sz w:val="32"/>
          <w:szCs w:val="32"/>
          <w:highlight w:val="none"/>
        </w:rPr>
      </w:pPr>
      <w:r>
        <w:rPr>
          <w:rFonts w:hint="eastAsia" w:ascii="黑体" w:hAnsi="黑体" w:eastAsia="黑体" w:cs="宋体"/>
          <w:bCs/>
          <w:kern w:val="0"/>
          <w:sz w:val="32"/>
          <w:szCs w:val="32"/>
          <w:highlight w:val="none"/>
        </w:rPr>
        <w:t>第二条</w:t>
      </w:r>
      <w:r>
        <w:rPr>
          <w:rFonts w:hint="eastAsia" w:ascii="仿宋" w:hAnsi="仿宋" w:eastAsia="仿宋" w:cs="宋体"/>
          <w:bCs/>
          <w:color w:val="0000FF"/>
          <w:kern w:val="0"/>
          <w:sz w:val="32"/>
          <w:szCs w:val="32"/>
          <w:highlight w:val="none"/>
        </w:rPr>
        <w:t xml:space="preserve">  </w:t>
      </w:r>
      <w:r>
        <w:rPr>
          <w:rFonts w:hint="eastAsia" w:ascii="仿宋_GB2312" w:hAnsi="仿宋_GB2312" w:eastAsia="仿宋_GB2312" w:cs="仿宋_GB2312"/>
          <w:bCs/>
          <w:kern w:val="0"/>
          <w:sz w:val="32"/>
          <w:szCs w:val="32"/>
          <w:highlight w:val="none"/>
        </w:rPr>
        <w:t>本办法主要对我院管理的各类经费（含预算经费、科研经费等）列支培训费的各类培训进行规范管理。</w:t>
      </w:r>
    </w:p>
    <w:p>
      <w:pPr>
        <w:keepNext w:val="0"/>
        <w:keepLines w:val="0"/>
        <w:pageBreakBefore w:val="0"/>
        <w:kinsoku/>
        <w:wordWrap/>
        <w:overflowPunct/>
        <w:topLinePunct w:val="0"/>
        <w:autoSpaceDE/>
        <w:autoSpaceDN/>
        <w:bidi w:val="0"/>
        <w:snapToGrid w:val="0"/>
        <w:spacing w:line="580" w:lineRule="exact"/>
        <w:ind w:firstLine="645"/>
        <w:textAlignment w:val="auto"/>
        <w:rPr>
          <w:rFonts w:hint="eastAsia" w:ascii="仿宋_GB2312" w:hAnsi="仿宋_GB2312" w:eastAsia="仿宋_GB2312" w:cs="仿宋_GB2312"/>
          <w:bCs/>
          <w:color w:val="0000FF"/>
          <w:kern w:val="0"/>
          <w:sz w:val="32"/>
          <w:szCs w:val="32"/>
          <w:highlight w:val="none"/>
        </w:rPr>
      </w:pPr>
      <w:r>
        <w:rPr>
          <w:rFonts w:hint="eastAsia" w:ascii="黑体" w:hAnsi="黑体" w:eastAsia="黑体" w:cs="宋体"/>
          <w:bCs/>
          <w:kern w:val="0"/>
          <w:sz w:val="32"/>
          <w:szCs w:val="32"/>
          <w:highlight w:val="none"/>
        </w:rPr>
        <w:t>第三条</w:t>
      </w:r>
      <w:r>
        <w:rPr>
          <w:rFonts w:hint="eastAsia" w:ascii="仿宋" w:hAnsi="仿宋" w:eastAsia="仿宋" w:cs="宋体"/>
          <w:bCs/>
          <w:color w:val="0000FF"/>
          <w:kern w:val="0"/>
          <w:sz w:val="32"/>
          <w:szCs w:val="32"/>
          <w:highlight w:val="none"/>
        </w:rPr>
        <w:t xml:space="preserve">  </w:t>
      </w:r>
      <w:r>
        <w:rPr>
          <w:rFonts w:hint="eastAsia" w:ascii="仿宋_GB2312" w:hAnsi="仿宋_GB2312" w:eastAsia="仿宋_GB2312" w:cs="仿宋_GB2312"/>
          <w:bCs/>
          <w:kern w:val="0"/>
          <w:sz w:val="32"/>
          <w:szCs w:val="32"/>
          <w:highlight w:val="none"/>
        </w:rPr>
        <w:t>本办法所称培训，主要是指由我院主办、承办的各类培训，包括各类学术、专业业务培训及在职培训等。</w:t>
      </w:r>
    </w:p>
    <w:p>
      <w:pPr>
        <w:keepNext w:val="0"/>
        <w:keepLines w:val="0"/>
        <w:pageBreakBefore w:val="0"/>
        <w:kinsoku/>
        <w:wordWrap/>
        <w:overflowPunct/>
        <w:topLinePunct w:val="0"/>
        <w:autoSpaceDE/>
        <w:autoSpaceDN/>
        <w:bidi w:val="0"/>
        <w:snapToGrid w:val="0"/>
        <w:spacing w:line="580" w:lineRule="exact"/>
        <w:ind w:firstLine="645"/>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第四条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举办培训应当坚持厉行节约、反对浪费的原则，实行单位内部统一管理，增强培训计划的科学性和严肃性，增强培训项目的针对性和实效性，保证培训质量，节约培训资源，提高培训经费使用效益。</w:t>
      </w:r>
    </w:p>
    <w:p>
      <w:pPr>
        <w:keepNext w:val="0"/>
        <w:keepLines w:val="0"/>
        <w:pageBreakBefore w:val="0"/>
        <w:kinsoku/>
        <w:wordWrap/>
        <w:overflowPunct/>
        <w:topLinePunct w:val="0"/>
        <w:autoSpaceDE/>
        <w:autoSpaceDN/>
        <w:bidi w:val="0"/>
        <w:snapToGrid w:val="0"/>
        <w:spacing w:before="240" w:line="580" w:lineRule="exact"/>
        <w:jc w:val="center"/>
        <w:textAlignment w:val="auto"/>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第二章</w:t>
      </w:r>
      <w:r>
        <w:rPr>
          <w:rFonts w:ascii="黑体" w:hAnsi="黑体" w:eastAsia="黑体" w:cs="宋体"/>
          <w:bCs/>
          <w:kern w:val="0"/>
          <w:sz w:val="32"/>
          <w:szCs w:val="32"/>
          <w:highlight w:val="none"/>
        </w:rPr>
        <w:t xml:space="preserve">  </w:t>
      </w:r>
      <w:r>
        <w:rPr>
          <w:rFonts w:hint="eastAsia" w:ascii="黑体" w:hAnsi="黑体" w:eastAsia="黑体" w:cs="宋体"/>
          <w:bCs/>
          <w:kern w:val="0"/>
          <w:sz w:val="32"/>
          <w:szCs w:val="32"/>
          <w:highlight w:val="none"/>
        </w:rPr>
        <w:t>培训计划编报和审批</w:t>
      </w:r>
    </w:p>
    <w:p>
      <w:pPr>
        <w:keepNext w:val="0"/>
        <w:keepLines w:val="0"/>
        <w:pageBreakBefore w:val="0"/>
        <w:shd w:val="clear" w:color="auto" w:fill="FFFFFF"/>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第五条</w:t>
      </w:r>
      <w:r>
        <w:rPr>
          <w:rFonts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 xml:space="preserve"> 建立培训计划编报和审批制度。各部门要在每年11月30日前将下一年度培训计划报计财处备案。</w:t>
      </w:r>
    </w:p>
    <w:p>
      <w:pPr>
        <w:keepNext w:val="0"/>
        <w:keepLines w:val="0"/>
        <w:pageBreakBefore w:val="0"/>
        <w:shd w:val="clear" w:color="auto" w:fill="FFFFFF"/>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（一）使用预算经费的各类培训，培训主办、承办部门应及时制订本部门年度培训计划，报人事处批准后，纳入院年度培训预算，并在培训费预算内组织实施。</w:t>
      </w:r>
    </w:p>
    <w:p>
      <w:pPr>
        <w:keepNext w:val="0"/>
        <w:keepLines w:val="0"/>
        <w:pageBreakBefore w:val="0"/>
        <w:shd w:val="clear" w:color="auto" w:fill="FFFFFF"/>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（二）使用科研经费的各类培训，原则上应在科研立项预算中申请列支培训费。</w:t>
      </w:r>
    </w:p>
    <w:p>
      <w:pPr>
        <w:keepNext w:val="0"/>
        <w:keepLines w:val="0"/>
        <w:pageBreakBefore w:val="0"/>
        <w:shd w:val="clear" w:color="auto" w:fill="FFFFFF"/>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年度培训计划一经批准，原则上不得调整。因工作需要确需临时增加培训及调整预算的，按相关程序审批。</w:t>
      </w:r>
    </w:p>
    <w:p>
      <w:pPr>
        <w:keepNext w:val="0"/>
        <w:keepLines w:val="0"/>
        <w:pageBreakBefore w:val="0"/>
        <w:shd w:val="clear" w:color="auto" w:fill="FFFFFF"/>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第六条</w:t>
      </w:r>
      <w:r>
        <w:rPr>
          <w:rFonts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培训举办或承办部门在培训前，应根据培训计划（包括培训名称、对象、内容、时间、地点、参训人数、所需经费及列支渠道等），填写《广西农业科学院培训审批表》（见附件）。培训费根据列支渠道不同，采用不同的审批手续：</w:t>
      </w:r>
    </w:p>
    <w:p>
      <w:pPr>
        <w:keepNext w:val="0"/>
        <w:keepLines w:val="0"/>
        <w:pageBreakBefore w:val="0"/>
        <w:widowControl/>
        <w:kinsoku/>
        <w:wordWrap/>
        <w:overflowPunct/>
        <w:topLinePunct w:val="0"/>
        <w:autoSpaceDE/>
        <w:autoSpaceDN/>
        <w:bidi w:val="0"/>
        <w:spacing w:line="580" w:lineRule="exact"/>
        <w:ind w:firstLine="645"/>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（一）使用预算经费的培训。由人事处审核并报院领导批准后执行。</w:t>
      </w:r>
    </w:p>
    <w:p>
      <w:pPr>
        <w:keepNext w:val="0"/>
        <w:keepLines w:val="0"/>
        <w:pageBreakBefore w:val="0"/>
        <w:widowControl/>
        <w:kinsoku/>
        <w:wordWrap/>
        <w:overflowPunct/>
        <w:topLinePunct w:val="0"/>
        <w:autoSpaceDE/>
        <w:autoSpaceDN/>
        <w:bidi w:val="0"/>
        <w:spacing w:line="580" w:lineRule="exact"/>
        <w:ind w:firstLine="645"/>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（二）使用科研经费的培训。在科研立项预算中申请列支培训费的，由科研项目负责人审批，且需附科研立项预算表或立项说明书。</w:t>
      </w:r>
    </w:p>
    <w:p>
      <w:pPr>
        <w:keepNext w:val="0"/>
        <w:keepLines w:val="0"/>
        <w:pageBreakBefore w:val="0"/>
        <w:kinsoku/>
        <w:wordWrap/>
        <w:overflowPunct/>
        <w:topLinePunct w:val="0"/>
        <w:autoSpaceDE/>
        <w:autoSpaceDN/>
        <w:bidi w:val="0"/>
        <w:snapToGrid w:val="0"/>
        <w:spacing w:line="580" w:lineRule="exact"/>
        <w:ind w:firstLine="645"/>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第七条</w:t>
      </w:r>
      <w:r>
        <w:rPr>
          <w:rFonts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协助其他单位培训并承担部分培训费的，应根据经费列支渠道，履行相应的预算计划编报及审批手续，并签订合同（协议）。</w:t>
      </w:r>
    </w:p>
    <w:p>
      <w:pPr>
        <w:keepNext w:val="0"/>
        <w:keepLines w:val="0"/>
        <w:pageBreakBefore w:val="0"/>
        <w:kinsoku/>
        <w:wordWrap/>
        <w:overflowPunct/>
        <w:topLinePunct w:val="0"/>
        <w:autoSpaceDE/>
        <w:autoSpaceDN/>
        <w:bidi w:val="0"/>
        <w:snapToGrid w:val="0"/>
        <w:spacing w:before="240" w:line="580" w:lineRule="exact"/>
        <w:jc w:val="center"/>
        <w:textAlignment w:val="auto"/>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第三章  开支范围和标准</w:t>
      </w:r>
    </w:p>
    <w:p>
      <w:pPr>
        <w:keepNext w:val="0"/>
        <w:keepLines w:val="0"/>
        <w:pageBreakBefore w:val="0"/>
        <w:shd w:val="clear" w:color="auto" w:fill="FFFFFF"/>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FF0000"/>
          <w:kern w:val="0"/>
          <w:sz w:val="32"/>
          <w:szCs w:val="32"/>
          <w:highlight w:val="none"/>
        </w:rPr>
      </w:pPr>
      <w:r>
        <w:rPr>
          <w:rFonts w:hint="eastAsia" w:ascii="黑体" w:hAnsi="黑体" w:eastAsia="黑体" w:cs="宋体"/>
          <w:bCs/>
          <w:kern w:val="0"/>
          <w:sz w:val="32"/>
          <w:szCs w:val="32"/>
          <w:highlight w:val="none"/>
        </w:rPr>
        <w:t>第八条</w:t>
      </w:r>
      <w:r>
        <w:rPr>
          <w:rFonts w:ascii="仿宋" w:hAnsi="仿宋" w:eastAsia="仿宋" w:cs="Arial"/>
          <w:color w:val="0000FF"/>
          <w:kern w:val="0"/>
          <w:sz w:val="32"/>
          <w:szCs w:val="32"/>
          <w:highlight w:val="none"/>
        </w:rPr>
        <w:t xml:space="preserve"> </w:t>
      </w:r>
      <w:r>
        <w:rPr>
          <w:rFonts w:hint="eastAsia" w:ascii="仿宋_GB2312" w:hAnsi="仿宋_GB2312" w:eastAsia="仿宋_GB2312" w:cs="仿宋_GB2312"/>
          <w:color w:val="0000FF"/>
          <w:kern w:val="0"/>
          <w:sz w:val="32"/>
          <w:szCs w:val="32"/>
          <w:highlight w:val="none"/>
        </w:rPr>
        <w:t xml:space="preserve"> </w:t>
      </w:r>
      <w:r>
        <w:rPr>
          <w:rFonts w:hint="eastAsia" w:ascii="仿宋_GB2312" w:hAnsi="仿宋_GB2312" w:eastAsia="仿宋_GB2312" w:cs="仿宋_GB2312"/>
          <w:bCs/>
          <w:kern w:val="0"/>
          <w:sz w:val="32"/>
          <w:szCs w:val="32"/>
          <w:highlight w:val="none"/>
        </w:rPr>
        <w:t>本办法所称培训费，指各部门开展培训直接发生的各项费用支出，包括师资费、住宿费、伙食费、培训场地费、培训资料费、交通费以及其他费用。</w:t>
      </w:r>
    </w:p>
    <w:p>
      <w:pPr>
        <w:keepNext w:val="0"/>
        <w:keepLines w:val="0"/>
        <w:pageBreakBefore w:val="0"/>
        <w:kinsoku/>
        <w:wordWrap/>
        <w:overflowPunct/>
        <w:topLinePunct w:val="0"/>
        <w:autoSpaceDE/>
        <w:autoSpaceDN/>
        <w:bidi w:val="0"/>
        <w:snapToGrid w:val="0"/>
        <w:spacing w:line="580" w:lineRule="exact"/>
        <w:textAlignment w:val="auto"/>
        <w:rPr>
          <w:rFonts w:hint="eastAsia" w:ascii="仿宋_GB2312" w:hAnsi="仿宋_GB2312" w:eastAsia="仿宋_GB2312" w:cs="仿宋_GB2312"/>
          <w:bCs/>
          <w:kern w:val="0"/>
          <w:sz w:val="32"/>
          <w:szCs w:val="32"/>
          <w:highlight w:val="none"/>
        </w:rPr>
      </w:pPr>
      <w:r>
        <w:rPr>
          <w:rFonts w:hint="eastAsia" w:ascii="仿宋" w:hAnsi="仿宋" w:eastAsia="仿宋" w:cs="宋体"/>
          <w:bCs/>
          <w:kern w:val="0"/>
          <w:sz w:val="32"/>
          <w:szCs w:val="32"/>
          <w:highlight w:val="none"/>
        </w:rPr>
        <w:t>　　</w:t>
      </w:r>
      <w:r>
        <w:rPr>
          <w:rFonts w:hint="eastAsia" w:ascii="仿宋_GB2312" w:hAnsi="仿宋_GB2312" w:eastAsia="仿宋_GB2312" w:cs="仿宋_GB2312"/>
          <w:bCs/>
          <w:kern w:val="0"/>
          <w:sz w:val="32"/>
          <w:szCs w:val="32"/>
          <w:highlight w:val="none"/>
        </w:rPr>
        <w:t>（一）师资费是指聘请师资授课发生的费用，包括授课老师讲课费、住宿费、伙食费、城市间交通费等。</w:t>
      </w:r>
    </w:p>
    <w:p>
      <w:pPr>
        <w:keepNext w:val="0"/>
        <w:keepLines w:val="0"/>
        <w:pageBreakBefore w:val="0"/>
        <w:kinsoku/>
        <w:wordWrap/>
        <w:overflowPunct/>
        <w:topLinePunct w:val="0"/>
        <w:autoSpaceDE/>
        <w:autoSpaceDN/>
        <w:bidi w:val="0"/>
        <w:snapToGrid w:val="0"/>
        <w:spacing w:line="580" w:lineRule="exac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（二）住宿费是指参训人员及工作人员（不含参训人员携带的司机等其他人员）培训期间发生的租住房间的费用。</w:t>
      </w:r>
    </w:p>
    <w:p>
      <w:pPr>
        <w:keepNext w:val="0"/>
        <w:keepLines w:val="0"/>
        <w:pageBreakBefore w:val="0"/>
        <w:kinsoku/>
        <w:wordWrap/>
        <w:overflowPunct/>
        <w:topLinePunct w:val="0"/>
        <w:autoSpaceDE/>
        <w:autoSpaceDN/>
        <w:bidi w:val="0"/>
        <w:snapToGrid w:val="0"/>
        <w:spacing w:line="580" w:lineRule="exac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（三）伙食费是指参训人员及工作人员（不含参训人员携带的司机等其他人员）培训期间发生的用餐费用。</w:t>
      </w:r>
    </w:p>
    <w:p>
      <w:pPr>
        <w:keepNext w:val="0"/>
        <w:keepLines w:val="0"/>
        <w:pageBreakBefore w:val="0"/>
        <w:kinsoku/>
        <w:wordWrap/>
        <w:overflowPunct/>
        <w:topLinePunct w:val="0"/>
        <w:autoSpaceDE/>
        <w:autoSpaceDN/>
        <w:bidi w:val="0"/>
        <w:snapToGrid w:val="0"/>
        <w:spacing w:line="580" w:lineRule="exact"/>
        <w:ind w:firstLine="63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（四）培训场地费是指用于培训的会议室或教室租金。</w:t>
      </w:r>
    </w:p>
    <w:p>
      <w:pPr>
        <w:keepNext w:val="0"/>
        <w:keepLines w:val="0"/>
        <w:pageBreakBefore w:val="0"/>
        <w:kinsoku/>
        <w:wordWrap/>
        <w:overflowPunct/>
        <w:topLinePunct w:val="0"/>
        <w:autoSpaceDE/>
        <w:autoSpaceDN/>
        <w:bidi w:val="0"/>
        <w:snapToGrid w:val="0"/>
        <w:spacing w:line="580" w:lineRule="exact"/>
        <w:ind w:firstLine="630"/>
        <w:textAlignment w:val="auto"/>
        <w:rPr>
          <w:rFonts w:hint="eastAsia" w:ascii="仿宋_GB2312" w:hAnsi="仿宋_GB2312" w:eastAsia="仿宋_GB2312" w:cs="仿宋_GB2312"/>
          <w:bCs/>
          <w:spacing w:val="-6"/>
          <w:kern w:val="0"/>
          <w:sz w:val="32"/>
          <w:szCs w:val="32"/>
          <w:highlight w:val="none"/>
        </w:rPr>
      </w:pPr>
      <w:r>
        <w:rPr>
          <w:rFonts w:hint="eastAsia" w:ascii="仿宋_GB2312" w:hAnsi="仿宋_GB2312" w:eastAsia="仿宋_GB2312" w:cs="仿宋_GB2312"/>
          <w:bCs/>
          <w:spacing w:val="-6"/>
          <w:kern w:val="0"/>
          <w:sz w:val="32"/>
          <w:szCs w:val="32"/>
          <w:highlight w:val="none"/>
        </w:rPr>
        <w:t>（五）培训资料费是指培训期间必要的培训资料及办公用品费。</w:t>
      </w:r>
    </w:p>
    <w:p>
      <w:pPr>
        <w:keepNext w:val="0"/>
        <w:keepLines w:val="0"/>
        <w:pageBreakBefore w:val="0"/>
        <w:kinsoku/>
        <w:wordWrap/>
        <w:overflowPunct/>
        <w:topLinePunct w:val="0"/>
        <w:autoSpaceDE/>
        <w:autoSpaceDN/>
        <w:bidi w:val="0"/>
        <w:snapToGrid w:val="0"/>
        <w:spacing w:line="580" w:lineRule="exac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（六）交通费是指用于培训所需的人员接送以及与培训有关的考察、调研等发生的交通费用支出。</w:t>
      </w:r>
    </w:p>
    <w:p>
      <w:pPr>
        <w:keepNext w:val="0"/>
        <w:keepLines w:val="0"/>
        <w:pageBreakBefore w:val="0"/>
        <w:kinsoku/>
        <w:wordWrap/>
        <w:overflowPunct/>
        <w:topLinePunct w:val="0"/>
        <w:autoSpaceDE/>
        <w:autoSpaceDN/>
        <w:bidi w:val="0"/>
        <w:snapToGrid w:val="0"/>
        <w:spacing w:line="580" w:lineRule="exact"/>
        <w:ind w:firstLine="645"/>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（七）其他费用是指现场教学费、设备租赁费、文体活动费、医药费等与培训相关的其他支出。</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参训人员参加培训往返及异地教学、调研发生的城市间交通费，按照差旅费有关规定回单位报销。</w:t>
      </w:r>
    </w:p>
    <w:p>
      <w:pPr>
        <w:keepNext w:val="0"/>
        <w:keepLines w:val="0"/>
        <w:pageBreakBefore w:val="0"/>
        <w:kinsoku/>
        <w:wordWrap/>
        <w:overflowPunct/>
        <w:topLinePunct w:val="0"/>
        <w:autoSpaceDE/>
        <w:autoSpaceDN/>
        <w:bidi w:val="0"/>
        <w:snapToGrid w:val="0"/>
        <w:spacing w:line="580" w:lineRule="exact"/>
        <w:textAlignment w:val="auto"/>
        <w:rPr>
          <w:rFonts w:hint="eastAsia" w:ascii="仿宋_GB2312" w:hAnsi="仿宋_GB2312" w:eastAsia="仿宋_GB2312" w:cs="仿宋_GB2312"/>
          <w:bCs/>
          <w:kern w:val="0"/>
          <w:sz w:val="32"/>
          <w:szCs w:val="32"/>
          <w:highlight w:val="none"/>
        </w:rPr>
      </w:pPr>
      <w:r>
        <w:rPr>
          <w:rFonts w:hint="eastAsia" w:ascii="仿宋" w:hAnsi="仿宋" w:eastAsia="仿宋" w:cs="宋体"/>
          <w:bCs/>
          <w:kern w:val="0"/>
          <w:sz w:val="32"/>
          <w:szCs w:val="32"/>
          <w:highlight w:val="none"/>
        </w:rPr>
        <w:t>　　</w:t>
      </w:r>
      <w:r>
        <w:rPr>
          <w:rFonts w:hint="eastAsia" w:ascii="黑体" w:hAnsi="黑体" w:eastAsia="黑体" w:cs="宋体"/>
          <w:bCs/>
          <w:kern w:val="0"/>
          <w:sz w:val="32"/>
          <w:szCs w:val="32"/>
          <w:highlight w:val="none"/>
        </w:rPr>
        <w:t>第九条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color w:val="000000"/>
          <w:kern w:val="0"/>
          <w:sz w:val="32"/>
          <w:szCs w:val="32"/>
          <w:highlight w:val="none"/>
        </w:rPr>
        <w:t>培训举办部门在编制培训班经费预算时，人数含参训人员和工作人员，但不含授课教师。授课教师的交通、食宿费用在第八条（一）项“师资费”中统筹解决</w:t>
      </w:r>
      <w:r>
        <w:rPr>
          <w:rFonts w:hint="eastAsia" w:ascii="仿宋_GB2312" w:hAnsi="仿宋_GB2312" w:eastAsia="仿宋_GB2312" w:cs="仿宋_GB2312"/>
          <w:bCs/>
          <w:kern w:val="0"/>
          <w:sz w:val="32"/>
          <w:szCs w:val="32"/>
          <w:highlight w:val="none"/>
        </w:rPr>
        <w:t>。</w:t>
      </w:r>
    </w:p>
    <w:p>
      <w:pPr>
        <w:keepNext w:val="0"/>
        <w:keepLines w:val="0"/>
        <w:pageBreakBefore w:val="0"/>
        <w:shd w:val="clear" w:color="auto" w:fill="FFFFFF"/>
        <w:kinsoku/>
        <w:wordWrap/>
        <w:overflowPunct/>
        <w:topLinePunct w:val="0"/>
        <w:autoSpaceDE/>
        <w:autoSpaceDN/>
        <w:bidi w:val="0"/>
        <w:spacing w:line="580" w:lineRule="exact"/>
        <w:ind w:firstLine="640" w:firstLineChars="200"/>
        <w:jc w:val="left"/>
        <w:textAlignment w:val="auto"/>
        <w:rPr>
          <w:rFonts w:ascii="仿宋" w:hAnsi="仿宋" w:eastAsia="仿宋" w:cs="宋体"/>
          <w:bCs/>
          <w:kern w:val="0"/>
          <w:sz w:val="32"/>
          <w:szCs w:val="32"/>
          <w:highlight w:val="none"/>
        </w:rPr>
      </w:pPr>
      <w:r>
        <w:rPr>
          <w:rFonts w:hint="eastAsia" w:ascii="黑体" w:hAnsi="黑体" w:eastAsia="黑体" w:cs="宋体"/>
          <w:bCs/>
          <w:kern w:val="0"/>
          <w:sz w:val="32"/>
          <w:szCs w:val="32"/>
          <w:highlight w:val="none"/>
        </w:rPr>
        <w:t>第十条</w:t>
      </w:r>
      <w:r>
        <w:rPr>
          <w:rFonts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 xml:space="preserve"> 培训班相关开支应当作为培训费整体列支，不应拆分列入其他经济分类科目。</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第十一条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除师资费外，培训费实行分类综合定额标准，分项核定、总额控制，各项费用之间可以调剂使用。综合定额标准如下：</w:t>
      </w:r>
    </w:p>
    <w:p>
      <w:pPr>
        <w:keepNext w:val="0"/>
        <w:keepLines w:val="0"/>
        <w:pageBreakBefore w:val="0"/>
        <w:kinsoku/>
        <w:wordWrap/>
        <w:overflowPunct/>
        <w:topLinePunct w:val="0"/>
        <w:autoSpaceDE/>
        <w:autoSpaceDN/>
        <w:bidi w:val="0"/>
        <w:snapToGrid w:val="0"/>
        <w:spacing w:after="156" w:afterLines="50" w:line="400" w:lineRule="exact"/>
        <w:ind w:firstLine="6300" w:firstLineChars="2250"/>
        <w:textAlignment w:val="auto"/>
        <w:rPr>
          <w:rFonts w:hint="eastAsia" w:ascii="仿宋" w:hAnsi="仿宋" w:eastAsia="仿宋" w:cs="宋体"/>
          <w:bCs/>
          <w:kern w:val="0"/>
          <w:sz w:val="28"/>
          <w:szCs w:val="28"/>
          <w:highlight w:val="none"/>
        </w:rPr>
      </w:pPr>
      <w:r>
        <w:rPr>
          <w:rFonts w:hint="eastAsia" w:ascii="仿宋" w:hAnsi="仿宋" w:eastAsia="仿宋" w:cs="宋体"/>
          <w:bCs/>
          <w:kern w:val="0"/>
          <w:sz w:val="28"/>
          <w:szCs w:val="28"/>
          <w:highlight w:val="none"/>
        </w:rPr>
        <w:t>金额单位：元/人·天</w:t>
      </w:r>
    </w:p>
    <w:tbl>
      <w:tblPr>
        <w:tblStyle w:val="6"/>
        <w:tblW w:w="0" w:type="auto"/>
        <w:jc w:val="center"/>
        <w:tblLayout w:type="fixed"/>
        <w:tblCellMar>
          <w:top w:w="15" w:type="dxa"/>
          <w:left w:w="15" w:type="dxa"/>
          <w:bottom w:w="15" w:type="dxa"/>
          <w:right w:w="15" w:type="dxa"/>
        </w:tblCellMar>
      </w:tblPr>
      <w:tblGrid>
        <w:gridCol w:w="1686"/>
        <w:gridCol w:w="1140"/>
        <w:gridCol w:w="1198"/>
        <w:gridCol w:w="1155"/>
        <w:gridCol w:w="1365"/>
        <w:gridCol w:w="1155"/>
        <w:gridCol w:w="1232"/>
      </w:tblGrid>
      <w:tr>
        <w:trPr>
          <w:trHeight w:val="1267" w:hRule="atLeast"/>
          <w:jc w:val="center"/>
        </w:trPr>
        <w:tc>
          <w:tcPr>
            <w:tcW w:w="282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培训班类别</w:t>
            </w:r>
          </w:p>
        </w:tc>
        <w:tc>
          <w:tcPr>
            <w:tcW w:w="11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住宿费</w:t>
            </w:r>
          </w:p>
        </w:tc>
        <w:tc>
          <w:tcPr>
            <w:tcW w:w="11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伙食费</w:t>
            </w:r>
          </w:p>
        </w:tc>
        <w:tc>
          <w:tcPr>
            <w:tcW w:w="13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 xml:space="preserve"> 场地费、</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 xml:space="preserve"> 资料费、</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交通费</w:t>
            </w:r>
          </w:p>
        </w:tc>
        <w:tc>
          <w:tcPr>
            <w:tcW w:w="11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其他</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费用</w:t>
            </w:r>
          </w:p>
        </w:tc>
        <w:tc>
          <w:tcPr>
            <w:tcW w:w="12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合计</w:t>
            </w:r>
          </w:p>
        </w:tc>
      </w:tr>
      <w:tr>
        <w:trPr>
          <w:trHeight w:val="834" w:hRule="atLeast"/>
          <w:jc w:val="center"/>
        </w:trPr>
        <w:tc>
          <w:tcPr>
            <w:tcW w:w="282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使用科研经费</w:t>
            </w:r>
          </w:p>
        </w:tc>
        <w:tc>
          <w:tcPr>
            <w:tcW w:w="11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320</w:t>
            </w:r>
          </w:p>
        </w:tc>
        <w:tc>
          <w:tcPr>
            <w:tcW w:w="11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150</w:t>
            </w:r>
          </w:p>
        </w:tc>
        <w:tc>
          <w:tcPr>
            <w:tcW w:w="13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100</w:t>
            </w:r>
          </w:p>
        </w:tc>
        <w:tc>
          <w:tcPr>
            <w:tcW w:w="11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80</w:t>
            </w:r>
          </w:p>
        </w:tc>
        <w:tc>
          <w:tcPr>
            <w:tcW w:w="12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650</w:t>
            </w:r>
          </w:p>
        </w:tc>
      </w:tr>
      <w:tr>
        <w:trPr>
          <w:trHeight w:val="649" w:hRule="atLeast"/>
          <w:jc w:val="center"/>
        </w:trPr>
        <w:tc>
          <w:tcPr>
            <w:tcW w:w="1686" w:type="dxa"/>
            <w:vMerge w:val="restart"/>
            <w:tcBorders>
              <w:top w:val="nil"/>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使用预算</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经费</w:t>
            </w:r>
          </w:p>
        </w:tc>
        <w:tc>
          <w:tcPr>
            <w:tcW w:w="1140" w:type="dxa"/>
            <w:tcBorders>
              <w:top w:val="nil"/>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区外</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办班</w:t>
            </w:r>
          </w:p>
        </w:tc>
        <w:tc>
          <w:tcPr>
            <w:tcW w:w="119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320</w:t>
            </w:r>
          </w:p>
        </w:tc>
        <w:tc>
          <w:tcPr>
            <w:tcW w:w="11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150</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50</w:t>
            </w:r>
          </w:p>
        </w:tc>
        <w:tc>
          <w:tcPr>
            <w:tcW w:w="11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30</w:t>
            </w:r>
          </w:p>
        </w:tc>
        <w:tc>
          <w:tcPr>
            <w:tcW w:w="12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550</w:t>
            </w:r>
          </w:p>
        </w:tc>
      </w:tr>
      <w:tr>
        <w:trPr>
          <w:trHeight w:val="649" w:hRule="atLeast"/>
          <w:jc w:val="center"/>
        </w:trPr>
        <w:tc>
          <w:tcPr>
            <w:tcW w:w="1686" w:type="dxa"/>
            <w:vMerge w:val="continue"/>
            <w:tcBorders>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p>
        </w:tc>
        <w:tc>
          <w:tcPr>
            <w:tcW w:w="1140" w:type="dxa"/>
            <w:tcBorders>
              <w:top w:val="nil"/>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区内</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办班</w:t>
            </w:r>
          </w:p>
        </w:tc>
        <w:tc>
          <w:tcPr>
            <w:tcW w:w="119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230</w:t>
            </w:r>
          </w:p>
        </w:tc>
        <w:tc>
          <w:tcPr>
            <w:tcW w:w="11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120</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30</w:t>
            </w:r>
          </w:p>
        </w:tc>
        <w:tc>
          <w:tcPr>
            <w:tcW w:w="11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20</w:t>
            </w:r>
          </w:p>
        </w:tc>
        <w:tc>
          <w:tcPr>
            <w:tcW w:w="12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4F4F4F"/>
                <w:kern w:val="0"/>
                <w:sz w:val="28"/>
                <w:szCs w:val="28"/>
                <w:highlight w:val="none"/>
              </w:rPr>
            </w:pPr>
            <w:r>
              <w:rPr>
                <w:rFonts w:hint="eastAsia" w:ascii="仿宋_GB2312" w:hAnsi="仿宋_GB2312" w:eastAsia="仿宋_GB2312" w:cs="仿宋_GB2312"/>
                <w:color w:val="4F4F4F"/>
                <w:kern w:val="0"/>
                <w:sz w:val="28"/>
                <w:szCs w:val="28"/>
                <w:highlight w:val="none"/>
              </w:rPr>
              <w:t>400</w:t>
            </w:r>
          </w:p>
        </w:tc>
      </w:tr>
    </w:tbl>
    <w:p>
      <w:pPr>
        <w:keepNext w:val="0"/>
        <w:keepLines w:val="0"/>
        <w:pageBreakBefore w:val="0"/>
        <w:kinsoku/>
        <w:wordWrap/>
        <w:overflowPunct/>
        <w:topLinePunct w:val="0"/>
        <w:autoSpaceDE/>
        <w:autoSpaceDN/>
        <w:bidi w:val="0"/>
        <w:snapToGrid w:val="0"/>
        <w:spacing w:before="156" w:beforeLines="50" w:line="560" w:lineRule="exact"/>
        <w:textAlignment w:val="auto"/>
        <w:rPr>
          <w:rFonts w:hint="eastAsia" w:ascii="仿宋_GB2312" w:hAnsi="仿宋_GB2312" w:eastAsia="仿宋_GB2312" w:cs="仿宋_GB2312"/>
          <w:bCs/>
          <w:kern w:val="0"/>
          <w:sz w:val="32"/>
          <w:szCs w:val="32"/>
          <w:highlight w:val="none"/>
        </w:rPr>
      </w:pPr>
      <w:r>
        <w:rPr>
          <w:rFonts w:hint="eastAsia" w:ascii="仿宋" w:hAnsi="仿宋" w:eastAsia="仿宋" w:cs="宋体"/>
          <w:bCs/>
          <w:kern w:val="0"/>
          <w:sz w:val="32"/>
          <w:szCs w:val="32"/>
          <w:highlight w:val="none"/>
        </w:rPr>
        <w:t>　</w:t>
      </w:r>
      <w:r>
        <w:rPr>
          <w:rFonts w:hint="eastAsia" w:ascii="仿宋_GB2312" w:hAnsi="仿宋_GB2312" w:eastAsia="仿宋_GB2312" w:cs="仿宋_GB2312"/>
          <w:bCs/>
          <w:kern w:val="0"/>
          <w:sz w:val="32"/>
          <w:szCs w:val="32"/>
          <w:highlight w:val="none"/>
        </w:rPr>
        <w:t>　综合定额标准是相关费用开支的上限，各项培训支出应在综合定额标准以内结算报销。</w:t>
      </w:r>
    </w:p>
    <w:p>
      <w:pPr>
        <w:keepNext w:val="0"/>
        <w:keepLines w:val="0"/>
        <w:pageBreakBefore w:val="0"/>
        <w:kinsoku/>
        <w:wordWrap/>
        <w:overflowPunct/>
        <w:topLinePunct w:val="0"/>
        <w:autoSpaceDE/>
        <w:autoSpaceDN/>
        <w:bidi w:val="0"/>
        <w:snapToGrid w:val="0"/>
        <w:spacing w:line="560" w:lineRule="exact"/>
        <w:ind w:firstLine="640"/>
        <w:textAlignment w:val="auto"/>
        <w:rPr>
          <w:rFonts w:hint="eastAsia" w:ascii="仿宋" w:hAnsi="仿宋" w:eastAsia="仿宋" w:cs="宋体"/>
          <w:bCs/>
          <w:kern w:val="0"/>
          <w:sz w:val="32"/>
          <w:szCs w:val="32"/>
          <w:highlight w:val="none"/>
        </w:rPr>
      </w:pPr>
      <w:r>
        <w:rPr>
          <w:rFonts w:hint="eastAsia" w:ascii="仿宋_GB2312" w:hAnsi="仿宋_GB2312" w:eastAsia="仿宋_GB2312" w:cs="仿宋_GB2312"/>
          <w:bCs/>
          <w:kern w:val="0"/>
          <w:sz w:val="32"/>
          <w:szCs w:val="32"/>
          <w:highlight w:val="none"/>
        </w:rPr>
        <w:t>30天以内的培训按照综合定额标准控制，超过30天的培训，超过天数按照综合定额标准的70%控制。上述天数含报到及返程时间，报到和返程时间分别不得超过2天。</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 w:hAnsi="仿宋" w:eastAsia="仿宋" w:cs="宋体"/>
          <w:bCs/>
          <w:kern w:val="0"/>
          <w:sz w:val="32"/>
          <w:szCs w:val="32"/>
          <w:highlight w:val="none"/>
        </w:rPr>
        <w:t>　　</w:t>
      </w:r>
      <w:r>
        <w:rPr>
          <w:rFonts w:hint="eastAsia" w:ascii="黑体" w:hAnsi="黑体" w:eastAsia="黑体" w:cs="宋体"/>
          <w:bCs/>
          <w:kern w:val="0"/>
          <w:sz w:val="32"/>
          <w:szCs w:val="32"/>
          <w:highlight w:val="none"/>
        </w:rPr>
        <w:t>第十二条</w:t>
      </w:r>
      <w:r>
        <w:rPr>
          <w:rFonts w:hint="eastAsia" w:ascii="仿宋" w:hAnsi="仿宋" w:eastAsia="仿宋" w:cs="宋体"/>
          <w:b/>
          <w:bCs/>
          <w:kern w:val="0"/>
          <w:sz w:val="32"/>
          <w:szCs w:val="32"/>
          <w:highlight w:val="none"/>
        </w:rPr>
        <w:t xml:space="preserve"> </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师资费在综合定额标准外单独核算。</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（一）讲课费（税后）执行以下标准：副高级职称专业技术人员每学时最高不超过500元，正高级职称专业技术人员每学时</w:t>
      </w:r>
      <w:r>
        <w:rPr>
          <w:rFonts w:hint="eastAsia" w:ascii="仿宋_GB2312" w:hAnsi="仿宋_GB2312" w:eastAsia="仿宋_GB2312" w:cs="仿宋_GB2312"/>
          <w:bCs/>
          <w:spacing w:val="-10"/>
          <w:kern w:val="0"/>
          <w:sz w:val="32"/>
          <w:szCs w:val="32"/>
          <w:highlight w:val="none"/>
        </w:rPr>
        <w:t>最高不超过1000元，院士、全国知名专家每学时一般不超过1500元。</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讲课费按实际发生的学时计算，每半天最多按4学时计算。</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其他人员讲课费参照上述标准执行。</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同时为多班次一并授课的，不重复计算讲课费。</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kern w:val="0"/>
          <w:sz w:val="32"/>
          <w:szCs w:val="32"/>
          <w:highlight w:val="none"/>
        </w:rPr>
        <w:t>　　（二）</w:t>
      </w:r>
      <w:r>
        <w:rPr>
          <w:rFonts w:hint="eastAsia" w:ascii="仿宋_GB2312" w:hAnsi="仿宋_GB2312" w:eastAsia="仿宋_GB2312" w:cs="仿宋_GB2312"/>
          <w:bCs/>
          <w:color w:val="000000"/>
          <w:kern w:val="0"/>
          <w:sz w:val="32"/>
          <w:szCs w:val="32"/>
          <w:highlight w:val="none"/>
        </w:rPr>
        <w:t>授课老师的城市间交通费、住宿费按照差旅费有关规定和标准执行，伙食费按照本办法标准执行，原则上由培训举办单位承担。</w:t>
      </w:r>
    </w:p>
    <w:p>
      <w:pPr>
        <w:keepNext w:val="0"/>
        <w:keepLines w:val="0"/>
        <w:pageBreakBefore w:val="0"/>
        <w:kinsoku/>
        <w:wordWrap/>
        <w:overflowPunct/>
        <w:topLinePunct w:val="0"/>
        <w:autoSpaceDE/>
        <w:autoSpaceDN/>
        <w:bidi w:val="0"/>
        <w:snapToGrid w:val="0"/>
        <w:spacing w:line="560" w:lineRule="exact"/>
        <w:ind w:firstLine="63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（三）培训工作确有需要从异地（含境外）邀请授课老师，路途时间较长的，需书面报告单位主要负责同志书批准，讲课费可以适当增加，但最高不得超过同类标准的30%。</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黑体" w:hAnsi="黑体" w:eastAsia="黑体" w:cs="宋体"/>
          <w:bCs/>
          <w:kern w:val="0"/>
          <w:sz w:val="32"/>
          <w:szCs w:val="32"/>
          <w:highlight w:val="none"/>
        </w:rPr>
        <w:t>第十三条</w:t>
      </w:r>
      <w:r>
        <w:rPr>
          <w:rFonts w:ascii="仿宋" w:hAnsi="仿宋" w:eastAsia="仿宋" w:cs="Arial"/>
          <w:kern w:val="0"/>
          <w:sz w:val="32"/>
          <w:szCs w:val="32"/>
          <w:highlight w:val="none"/>
        </w:rPr>
        <w:t xml:space="preserve">  </w:t>
      </w:r>
      <w:r>
        <w:rPr>
          <w:rFonts w:hint="eastAsia" w:ascii="仿宋_GB2312" w:hAnsi="仿宋_GB2312" w:eastAsia="仿宋_GB2312" w:cs="仿宋_GB2312"/>
          <w:kern w:val="0"/>
          <w:sz w:val="32"/>
          <w:szCs w:val="32"/>
          <w:highlight w:val="none"/>
        </w:rPr>
        <w:t>不安排住宿的培训，综合定额按照扣除住宿费后的定额标准执行，住宿费不能调剂使用；不安排就餐的培训，综合定额按照扣除伙食费后的定额标准执行，伙食费不能调剂使用。</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0000FF"/>
          <w:kern w:val="0"/>
          <w:sz w:val="32"/>
          <w:szCs w:val="32"/>
          <w:highlight w:val="none"/>
        </w:rPr>
      </w:pPr>
      <w:r>
        <w:rPr>
          <w:rFonts w:hint="eastAsia" w:ascii="黑体" w:hAnsi="黑体" w:eastAsia="黑体" w:cs="宋体"/>
          <w:bCs/>
          <w:kern w:val="0"/>
          <w:sz w:val="32"/>
          <w:szCs w:val="32"/>
          <w:highlight w:val="none"/>
        </w:rPr>
        <w:t>第十四条</w:t>
      </w:r>
      <w:r>
        <w:rPr>
          <w:rFonts w:ascii="仿宋" w:hAnsi="仿宋" w:eastAsia="仿宋" w:cs="Arial"/>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 xml:space="preserve"> 因培训需要，特邀的国内外高级专家、学者和有关人员的城市间交通费、住宿费、国际旅费，可比照差旅费管理办法中相应标准予以报销，报销时须附承担该费用理由的说明（经费项目负责人签署意见确认）。此类情况的差旅费要纳入培训费预算，但不计入培训费综合控制定额。</w:t>
      </w:r>
    </w:p>
    <w:p>
      <w:pPr>
        <w:keepNext w:val="0"/>
        <w:keepLines w:val="0"/>
        <w:pageBreakBefore w:val="0"/>
        <w:kinsoku/>
        <w:wordWrap/>
        <w:overflowPunct/>
        <w:topLinePunct w:val="0"/>
        <w:autoSpaceDE/>
        <w:autoSpaceDN/>
        <w:bidi w:val="0"/>
        <w:snapToGrid w:val="0"/>
        <w:spacing w:before="240" w:line="560" w:lineRule="exact"/>
        <w:jc w:val="center"/>
        <w:textAlignment w:val="auto"/>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第四章  培训组织</w:t>
      </w:r>
    </w:p>
    <w:p>
      <w:pPr>
        <w:keepNext w:val="0"/>
        <w:keepLines w:val="0"/>
        <w:pageBreakBefore w:val="0"/>
        <w:kinsoku/>
        <w:wordWrap/>
        <w:overflowPunct/>
        <w:topLinePunct w:val="0"/>
        <w:autoSpaceDE/>
        <w:autoSpaceDN/>
        <w:bidi w:val="0"/>
        <w:snapToGrid w:val="0"/>
        <w:spacing w:line="560" w:lineRule="exact"/>
        <w:ind w:firstLine="630"/>
        <w:textAlignment w:val="auto"/>
        <w:rPr>
          <w:rFonts w:hint="eastAsia" w:ascii="仿宋" w:hAnsi="仿宋" w:eastAsia="仿宋" w:cs="宋体"/>
          <w:bCs/>
          <w:kern w:val="0"/>
          <w:sz w:val="32"/>
          <w:szCs w:val="32"/>
          <w:highlight w:val="none"/>
        </w:rPr>
      </w:pPr>
      <w:r>
        <w:rPr>
          <w:rFonts w:hint="eastAsia" w:ascii="黑体" w:hAnsi="黑体" w:eastAsia="黑体" w:cs="宋体"/>
          <w:bCs/>
          <w:kern w:val="0"/>
          <w:sz w:val="32"/>
          <w:szCs w:val="32"/>
          <w:highlight w:val="none"/>
        </w:rPr>
        <w:t>第十五条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各部门开展培训，以本部门自行主办。大型培训如果需要培训机构承办的，应当在开支范围和标准内优先选择党校、行政学院、干部学院以及组织人事部门认定或认可的其他有资质的培训机构承办。</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 w:hAnsi="仿宋" w:eastAsia="仿宋" w:cs="宋体"/>
          <w:bCs/>
          <w:kern w:val="0"/>
          <w:sz w:val="32"/>
          <w:szCs w:val="32"/>
          <w:highlight w:val="none"/>
        </w:rPr>
        <w:t>　　</w:t>
      </w:r>
      <w:r>
        <w:rPr>
          <w:rFonts w:hint="eastAsia" w:ascii="黑体" w:hAnsi="黑体" w:eastAsia="黑体" w:cs="宋体"/>
          <w:bCs/>
          <w:kern w:val="0"/>
          <w:sz w:val="32"/>
          <w:szCs w:val="32"/>
          <w:highlight w:val="none"/>
        </w:rPr>
        <w:t>第十六条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组织培训的工作人员控制在参训人员数量的10%以内。</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 w:hAnsi="仿宋" w:eastAsia="仿宋" w:cs="宋体"/>
          <w:bCs/>
          <w:kern w:val="0"/>
          <w:sz w:val="32"/>
          <w:szCs w:val="32"/>
          <w:highlight w:val="none"/>
        </w:rPr>
        <w:t>　　</w:t>
      </w:r>
      <w:r>
        <w:rPr>
          <w:rFonts w:hint="eastAsia" w:ascii="黑体" w:hAnsi="黑体" w:eastAsia="黑体" w:cs="宋体"/>
          <w:bCs/>
          <w:kern w:val="0"/>
          <w:sz w:val="32"/>
          <w:szCs w:val="32"/>
          <w:highlight w:val="none"/>
        </w:rPr>
        <w:t>第十七条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keepNext w:val="0"/>
        <w:keepLines w:val="0"/>
        <w:pageBreakBefore w:val="0"/>
        <w:kinsoku/>
        <w:wordWrap/>
        <w:overflowPunct/>
        <w:topLinePunct w:val="0"/>
        <w:autoSpaceDE/>
        <w:autoSpaceDN/>
        <w:bidi w:val="0"/>
        <w:snapToGrid w:val="0"/>
        <w:spacing w:line="560" w:lineRule="exact"/>
        <w:textAlignment w:val="auto"/>
        <w:rPr>
          <w:rFonts w:hint="eastAsia" w:ascii="仿宋" w:hAnsi="仿宋" w:eastAsia="仿宋" w:cs="宋体"/>
          <w:bCs/>
          <w:color w:val="000000"/>
          <w:kern w:val="0"/>
          <w:sz w:val="32"/>
          <w:szCs w:val="32"/>
          <w:highlight w:val="none"/>
        </w:rPr>
      </w:pPr>
      <w:r>
        <w:rPr>
          <w:rFonts w:hint="eastAsia" w:ascii="仿宋_GB2312" w:hAnsi="仿宋_GB2312" w:eastAsia="仿宋_GB2312" w:cs="仿宋_GB2312"/>
          <w:bCs/>
          <w:kern w:val="0"/>
          <w:sz w:val="32"/>
          <w:szCs w:val="32"/>
          <w:highlight w:val="none"/>
        </w:rPr>
        <w:t>　　培训住宿不得安排高档套房，不得额外配发洗漱用品等；培训用餐不得上高档菜肴，不得提供烟酒；</w:t>
      </w:r>
      <w:r>
        <w:rPr>
          <w:rFonts w:hint="eastAsia" w:ascii="仿宋_GB2312" w:hAnsi="仿宋_GB2312" w:eastAsia="仿宋_GB2312" w:cs="仿宋_GB2312"/>
          <w:bCs/>
          <w:color w:val="000000"/>
          <w:kern w:val="0"/>
          <w:sz w:val="32"/>
          <w:szCs w:val="32"/>
          <w:highlight w:val="none"/>
        </w:rPr>
        <w:t>除必要的、列入培训计划的现场教学外，7日以内（含7日）的培训不得组织调研、考察、参观。</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 w:hAnsi="仿宋" w:eastAsia="仿宋" w:cs="宋体"/>
          <w:bCs/>
          <w:kern w:val="0"/>
          <w:sz w:val="32"/>
          <w:szCs w:val="32"/>
          <w:highlight w:val="none"/>
        </w:rPr>
        <w:t>　　</w:t>
      </w:r>
      <w:r>
        <w:rPr>
          <w:rFonts w:hint="eastAsia" w:ascii="黑体" w:hAnsi="黑体" w:eastAsia="黑体" w:cs="宋体"/>
          <w:bCs/>
          <w:kern w:val="0"/>
          <w:sz w:val="32"/>
          <w:szCs w:val="32"/>
          <w:highlight w:val="none"/>
        </w:rPr>
        <w:t>第十八条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 xml:space="preserve"> 邀请国（境）外师资讲课，须严格按照有关外事管理规定，履行审批手续。国内师资能够满足培训需要的，不得邀请国（境）外师资。</w:t>
      </w:r>
    </w:p>
    <w:p>
      <w:pPr>
        <w:keepNext w:val="0"/>
        <w:keepLines w:val="0"/>
        <w:pageBreakBefore w:val="0"/>
        <w:kinsoku/>
        <w:wordWrap/>
        <w:overflowPunct/>
        <w:topLinePunct w:val="0"/>
        <w:autoSpaceDE/>
        <w:autoSpaceDN/>
        <w:bidi w:val="0"/>
        <w:snapToGrid w:val="0"/>
        <w:spacing w:line="560" w:lineRule="exact"/>
        <w:ind w:firstLine="645"/>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第十九条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培训举办单位应当注重教学设计和质量评估，通过需求调研、课程设计和开发、专家论证、评估反馈等环节，推进培训工作科学化、精准化；注重运用大数据、“互联网+”等现</w:t>
      </w:r>
      <w:r>
        <w:rPr>
          <w:rFonts w:hint="eastAsia" w:ascii="仿宋_GB2312" w:hAnsi="仿宋_GB2312" w:eastAsia="仿宋_GB2312" w:cs="仿宋_GB2312"/>
          <w:bCs/>
          <w:spacing w:val="-4"/>
          <w:kern w:val="0"/>
          <w:sz w:val="32"/>
          <w:szCs w:val="32"/>
          <w:highlight w:val="none"/>
        </w:rPr>
        <w:t>代信息技术手段开展培训和管理。所需费用纳入部门预算予以保障。</w:t>
      </w:r>
    </w:p>
    <w:p>
      <w:pPr>
        <w:keepNext w:val="0"/>
        <w:keepLines w:val="0"/>
        <w:pageBreakBefore w:val="0"/>
        <w:kinsoku/>
        <w:wordWrap/>
        <w:overflowPunct/>
        <w:topLinePunct w:val="0"/>
        <w:autoSpaceDE/>
        <w:autoSpaceDN/>
        <w:bidi w:val="0"/>
        <w:snapToGrid w:val="0"/>
        <w:spacing w:before="240" w:line="560" w:lineRule="exact"/>
        <w:jc w:val="center"/>
        <w:textAlignment w:val="auto"/>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第五章  报销结算</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第二十条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报销培训费，综合定额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财务部门应当严格按照规定审核培训费开支，对未履行审批备案程序的培训，以及超范围、超标准开支的费用不予报销。</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bCs/>
          <w:kern w:val="0"/>
          <w:sz w:val="32"/>
          <w:szCs w:val="32"/>
          <w:highlight w:val="none"/>
        </w:rPr>
      </w:pPr>
      <w:r>
        <w:rPr>
          <w:rFonts w:hint="eastAsia" w:ascii="仿宋" w:hAnsi="仿宋" w:eastAsia="仿宋" w:cs="宋体"/>
          <w:bCs/>
          <w:kern w:val="0"/>
          <w:sz w:val="32"/>
          <w:szCs w:val="32"/>
          <w:highlight w:val="none"/>
        </w:rPr>
        <w:t>　　</w:t>
      </w:r>
      <w:r>
        <w:rPr>
          <w:rFonts w:hint="eastAsia" w:ascii="黑体" w:hAnsi="黑体" w:eastAsia="黑体" w:cs="宋体"/>
          <w:bCs/>
          <w:kern w:val="0"/>
          <w:sz w:val="32"/>
          <w:szCs w:val="32"/>
          <w:highlight w:val="none"/>
        </w:rPr>
        <w:t>第二十一条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 xml:space="preserve"> 培训费的资金支付应当执行转账支付和公务卡管理有关制度规定，不得以现金方式支付。</w:t>
      </w:r>
    </w:p>
    <w:p>
      <w:pPr>
        <w:keepNext w:val="0"/>
        <w:keepLines w:val="0"/>
        <w:pageBreakBefore w:val="0"/>
        <w:kinsoku/>
        <w:wordWrap/>
        <w:overflowPunct/>
        <w:topLinePunct w:val="0"/>
        <w:autoSpaceDE/>
        <w:autoSpaceDN/>
        <w:bidi w:val="0"/>
        <w:snapToGrid w:val="0"/>
        <w:spacing w:line="560" w:lineRule="exact"/>
        <w:ind w:firstLine="640"/>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第二十二条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培训费由培训举办单位承担的，</w:t>
      </w:r>
      <w:r>
        <w:rPr>
          <w:rFonts w:hint="eastAsia" w:ascii="仿宋_GB2312" w:hAnsi="仿宋_GB2312" w:eastAsia="仿宋_GB2312" w:cs="仿宋_GB2312"/>
          <w:bCs/>
          <w:color w:val="000000"/>
          <w:kern w:val="0"/>
          <w:sz w:val="32"/>
          <w:szCs w:val="32"/>
          <w:highlight w:val="none"/>
        </w:rPr>
        <w:t>不得向参训人员收取任何费用</w:t>
      </w:r>
      <w:r>
        <w:rPr>
          <w:rFonts w:hint="eastAsia" w:ascii="仿宋_GB2312" w:hAnsi="仿宋_GB2312" w:eastAsia="仿宋_GB2312" w:cs="仿宋_GB2312"/>
          <w:bCs/>
          <w:kern w:val="0"/>
          <w:sz w:val="32"/>
          <w:szCs w:val="32"/>
          <w:highlight w:val="none"/>
        </w:rPr>
        <w:t>。</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1"/>
        <w:textAlignment w:val="auto"/>
        <w:rPr>
          <w:rFonts w:hint="eastAsia" w:ascii="仿宋_GB2312" w:hAnsi="仿宋_GB2312" w:eastAsia="仿宋_GB2312" w:cs="仿宋_GB2312"/>
          <w:color w:val="333333"/>
          <w:sz w:val="32"/>
          <w:szCs w:val="32"/>
          <w:highlight w:val="none"/>
        </w:rPr>
      </w:pPr>
      <w:r>
        <w:rPr>
          <w:rFonts w:hint="eastAsia" w:ascii="黑体" w:hAnsi="黑体" w:eastAsia="黑体"/>
          <w:bCs/>
          <w:sz w:val="32"/>
          <w:szCs w:val="32"/>
          <w:highlight w:val="none"/>
        </w:rPr>
        <w:t>第二十三条</w:t>
      </w:r>
      <w:r>
        <w:rPr>
          <w:rFonts w:ascii="仿宋" w:hAnsi="仿宋" w:eastAsia="仿宋" w:cs="Arial"/>
          <w:sz w:val="32"/>
          <w:szCs w:val="32"/>
          <w:highlight w:val="none"/>
        </w:rPr>
        <w:t xml:space="preserve">  </w:t>
      </w:r>
      <w:r>
        <w:rPr>
          <w:rFonts w:hint="eastAsia" w:ascii="仿宋_GB2312" w:hAnsi="仿宋_GB2312" w:eastAsia="仿宋_GB2312" w:cs="仿宋_GB2312"/>
          <w:sz w:val="32"/>
          <w:szCs w:val="32"/>
          <w:highlight w:val="none"/>
        </w:rPr>
        <w:t>各部门要加强培训的审批，不鼓励参加商业收费性质的培训班。如确为工作需要必须参加的，应经本单位领导批准，从严控制参会人数。参加已明确收费标准的培训班，经本部门领导批准后，可以按培训班收费标准报销；对培训班要求食宿自理的，所发生的住宿费等由所在单位按照差旅费有关规定审核报销。培训期间均没有市内交通费补助。</w:t>
      </w:r>
    </w:p>
    <w:p>
      <w:pPr>
        <w:keepNext w:val="0"/>
        <w:keepLines w:val="0"/>
        <w:pageBreakBefore w:val="0"/>
        <w:shd w:val="clear" w:color="auto" w:fill="FFFFFF"/>
        <w:kinsoku/>
        <w:wordWrap/>
        <w:overflowPunct/>
        <w:topLinePunct w:val="0"/>
        <w:autoSpaceDE/>
        <w:autoSpaceDN/>
        <w:bidi w:val="0"/>
        <w:spacing w:line="560" w:lineRule="exact"/>
        <w:ind w:firstLine="641"/>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第二十四条</w:t>
      </w:r>
      <w:r>
        <w:rPr>
          <w:rFonts w:ascii="仿宋" w:hAnsi="仿宋" w:eastAsia="仿宋" w:cs="Arial"/>
          <w:kern w:val="0"/>
          <w:sz w:val="32"/>
          <w:szCs w:val="32"/>
          <w:highlight w:val="none"/>
        </w:rPr>
        <w:t xml:space="preserve">  </w:t>
      </w:r>
      <w:r>
        <w:rPr>
          <w:rFonts w:hint="eastAsia" w:ascii="仿宋_GB2312" w:hAnsi="仿宋_GB2312" w:eastAsia="仿宋_GB2312" w:cs="仿宋_GB2312"/>
          <w:kern w:val="0"/>
          <w:sz w:val="32"/>
          <w:szCs w:val="32"/>
          <w:highlight w:val="none"/>
        </w:rPr>
        <w:t>因工作需要开展集中会审等专项工作，视同培训费管理。住宿、伙食、场地费等相关开支可参照第十一条培训费中“区内培训班”住宿费、伙食费、场地费标准范围内凭票据据实报销。</w:t>
      </w:r>
    </w:p>
    <w:p>
      <w:pPr>
        <w:keepNext w:val="0"/>
        <w:keepLines w:val="0"/>
        <w:pageBreakBefore w:val="0"/>
        <w:kinsoku/>
        <w:wordWrap/>
        <w:overflowPunct/>
        <w:topLinePunct w:val="0"/>
        <w:autoSpaceDE/>
        <w:autoSpaceDN/>
        <w:bidi w:val="0"/>
        <w:snapToGrid w:val="0"/>
        <w:spacing w:before="240" w:line="560" w:lineRule="exact"/>
        <w:jc w:val="center"/>
        <w:textAlignment w:val="auto"/>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第六章  监督检查</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黑体" w:hAnsi="黑体" w:eastAsia="黑体" w:cs="宋体"/>
          <w:bCs/>
          <w:kern w:val="0"/>
          <w:sz w:val="32"/>
          <w:szCs w:val="32"/>
          <w:highlight w:val="none"/>
        </w:rPr>
        <w:t>第二十五条</w:t>
      </w:r>
      <w:r>
        <w:rPr>
          <w:rFonts w:ascii="仿宋" w:hAnsi="仿宋" w:eastAsia="仿宋" w:cs="Arial"/>
          <w:kern w:val="0"/>
          <w:sz w:val="32"/>
          <w:szCs w:val="32"/>
          <w:highlight w:val="none"/>
        </w:rPr>
        <w:t xml:space="preserve">  </w:t>
      </w:r>
      <w:r>
        <w:rPr>
          <w:rFonts w:hint="eastAsia" w:ascii="仿宋_GB2312" w:hAnsi="仿宋_GB2312" w:eastAsia="仿宋_GB2312" w:cs="仿宋_GB2312"/>
          <w:kern w:val="0"/>
          <w:sz w:val="32"/>
          <w:szCs w:val="32"/>
          <w:highlight w:val="none"/>
        </w:rPr>
        <w:t>各部门应将培训的项目、内容、人数、经费等情况，以适当方式进行公开。</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黑体" w:hAnsi="黑体" w:eastAsia="黑体" w:cs="宋体"/>
          <w:bCs/>
          <w:kern w:val="0"/>
          <w:sz w:val="32"/>
          <w:szCs w:val="32"/>
          <w:highlight w:val="none"/>
        </w:rPr>
        <w:t>第二十六条</w:t>
      </w:r>
      <w:r>
        <w:rPr>
          <w:rFonts w:ascii="仿宋" w:hAnsi="仿宋" w:eastAsia="仿宋" w:cs="Arial"/>
          <w:kern w:val="0"/>
          <w:sz w:val="32"/>
          <w:szCs w:val="32"/>
          <w:highlight w:val="none"/>
        </w:rPr>
        <w:t xml:space="preserve">  </w:t>
      </w:r>
      <w:r>
        <w:rPr>
          <w:rFonts w:hint="eastAsia" w:ascii="仿宋_GB2312" w:hAnsi="仿宋_GB2312" w:eastAsia="仿宋_GB2312" w:cs="仿宋_GB2312"/>
          <w:kern w:val="0"/>
          <w:sz w:val="32"/>
          <w:szCs w:val="32"/>
          <w:highlight w:val="none"/>
        </w:rPr>
        <w:t>各部门应于每年3月底前将上年度培训计划执行情况（包括培训名称、主要内容、时间、地点、培训对象及人数、工作人员数、经费开支及列支渠道、培训成效等）汇总后报院人事处和计财处。</w:t>
      </w:r>
    </w:p>
    <w:p>
      <w:pPr>
        <w:keepNext w:val="0"/>
        <w:keepLines w:val="0"/>
        <w:pageBreakBefore w:val="0"/>
        <w:shd w:val="clear" w:color="auto" w:fill="FFFFFF"/>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黑体" w:hAnsi="黑体" w:eastAsia="黑体" w:cs="宋体"/>
          <w:bCs/>
          <w:kern w:val="0"/>
          <w:sz w:val="32"/>
          <w:szCs w:val="32"/>
          <w:highlight w:val="none"/>
        </w:rPr>
        <w:t>第二十七条</w:t>
      </w:r>
      <w:r>
        <w:rPr>
          <w:rFonts w:ascii="仿宋" w:hAnsi="仿宋" w:eastAsia="仿宋" w:cs="Arial"/>
          <w:kern w:val="0"/>
          <w:sz w:val="32"/>
          <w:szCs w:val="32"/>
          <w:highlight w:val="none"/>
        </w:rPr>
        <w:t xml:space="preserve">  </w:t>
      </w:r>
      <w:r>
        <w:rPr>
          <w:rFonts w:hint="eastAsia" w:ascii="仿宋_GB2312" w:hAnsi="仿宋_GB2312" w:eastAsia="仿宋_GB2312" w:cs="仿宋_GB2312"/>
          <w:kern w:val="0"/>
          <w:sz w:val="32"/>
          <w:szCs w:val="32"/>
          <w:highlight w:val="none"/>
        </w:rPr>
        <w:t>纪检部门按职责对各部门培训活动和培训费管理使用情况进行监督检查。主要内容包括：</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（一）培训计划的编报是否符合规定。</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（二）培训费开支范围和开支标准是否符合规定。</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（三）培训费报销和支付是否符合规定。</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（四）是否存在虚报培训费用的行为。</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（五）是否存在转嫁、摊派培训费用的行为。</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（六）是否存在向参训人员乱收费的行为。</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 w:hAnsi="仿宋" w:eastAsia="仿宋" w:cs="Arial"/>
          <w:kern w:val="0"/>
          <w:sz w:val="32"/>
          <w:szCs w:val="32"/>
          <w:highlight w:val="none"/>
        </w:rPr>
      </w:pPr>
      <w:r>
        <w:rPr>
          <w:rFonts w:hint="eastAsia" w:ascii="仿宋_GB2312" w:hAnsi="仿宋_GB2312" w:eastAsia="仿宋_GB2312" w:cs="仿宋_GB2312"/>
          <w:kern w:val="0"/>
          <w:sz w:val="32"/>
          <w:szCs w:val="32"/>
          <w:highlight w:val="none"/>
        </w:rPr>
        <w:t>（七）是否存在其他违反本办法的其他行为。</w:t>
      </w:r>
      <w:r>
        <w:rPr>
          <w:rFonts w:ascii="仿宋" w:hAnsi="宋体" w:eastAsia="仿宋" w:cs="Arial"/>
          <w:kern w:val="0"/>
          <w:sz w:val="32"/>
          <w:szCs w:val="32"/>
          <w:highlight w:val="none"/>
        </w:rPr>
        <w:t> </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jc w:val="left"/>
        <w:textAlignment w:val="auto"/>
        <w:rPr>
          <w:rFonts w:hint="eastAsia" w:ascii="仿宋_GB2312" w:hAnsi="仿宋_GB2312" w:eastAsia="仿宋_GB2312" w:cs="仿宋_GB2312"/>
          <w:bCs/>
          <w:spacing w:val="-6"/>
          <w:kern w:val="0"/>
          <w:sz w:val="32"/>
          <w:szCs w:val="32"/>
          <w:highlight w:val="none"/>
        </w:rPr>
      </w:pPr>
      <w:r>
        <w:rPr>
          <w:rFonts w:hint="eastAsia" w:ascii="黑体" w:hAnsi="黑体" w:eastAsia="黑体" w:cs="宋体"/>
          <w:bCs/>
          <w:spacing w:val="-6"/>
          <w:kern w:val="0"/>
          <w:sz w:val="32"/>
          <w:szCs w:val="32"/>
          <w:highlight w:val="none"/>
        </w:rPr>
        <w:t>第二十八条</w:t>
      </w:r>
      <w:r>
        <w:rPr>
          <w:rFonts w:hint="eastAsia" w:ascii="仿宋" w:hAnsi="仿宋" w:eastAsia="仿宋" w:cs="宋体"/>
          <w:bCs/>
          <w:spacing w:val="-6"/>
          <w:kern w:val="0"/>
          <w:sz w:val="32"/>
          <w:szCs w:val="32"/>
          <w:highlight w:val="none"/>
        </w:rPr>
        <w:t xml:space="preserve"> </w:t>
      </w:r>
      <w:r>
        <w:rPr>
          <w:rFonts w:hint="eastAsia" w:ascii="仿宋_GB2312" w:hAnsi="仿宋_GB2312" w:eastAsia="仿宋_GB2312" w:cs="仿宋_GB2312"/>
          <w:bCs/>
          <w:spacing w:val="-6"/>
          <w:kern w:val="0"/>
          <w:sz w:val="32"/>
          <w:szCs w:val="32"/>
          <w:highlight w:val="none"/>
        </w:rPr>
        <w:t xml:space="preserve"> 本管理办法上报有关部门备案，并接受监督检查。</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kern w:val="0"/>
          <w:sz w:val="32"/>
          <w:szCs w:val="32"/>
          <w:highlight w:val="none"/>
        </w:rPr>
      </w:pPr>
      <w:r>
        <w:rPr>
          <w:rFonts w:hint="eastAsia" w:ascii="黑体" w:hAnsi="黑体" w:eastAsia="黑体" w:cs="宋体"/>
          <w:bCs/>
          <w:kern w:val="0"/>
          <w:sz w:val="32"/>
          <w:szCs w:val="32"/>
          <w:highlight w:val="none"/>
        </w:rPr>
        <w:t>第二十九条</w:t>
      </w:r>
      <w:r>
        <w:rPr>
          <w:rFonts w:ascii="仿宋" w:hAnsi="仿宋" w:eastAsia="仿宋" w:cs="Arial"/>
          <w:kern w:val="0"/>
          <w:sz w:val="32"/>
          <w:szCs w:val="32"/>
          <w:highlight w:val="none"/>
        </w:rPr>
        <w:t xml:space="preserve">  </w:t>
      </w:r>
      <w:r>
        <w:rPr>
          <w:rFonts w:hint="eastAsia" w:ascii="仿宋_GB2312" w:hAnsi="仿宋_GB2312" w:eastAsia="仿宋_GB2312" w:cs="仿宋_GB2312"/>
          <w:kern w:val="0"/>
          <w:sz w:val="32"/>
          <w:szCs w:val="32"/>
          <w:highlight w:val="none"/>
        </w:rPr>
        <w:t>对于检查中发现的违反本办法的行为，由纪检部门责令改正，追回资金，并视情节轻重追究相关责任人的责任；涉嫌违纪犯罪的，移送有关部门处理。</w:t>
      </w:r>
    </w:p>
    <w:p>
      <w:pPr>
        <w:keepNext w:val="0"/>
        <w:keepLines w:val="0"/>
        <w:pageBreakBefore w:val="0"/>
        <w:kinsoku/>
        <w:wordWrap/>
        <w:overflowPunct/>
        <w:topLinePunct w:val="0"/>
        <w:autoSpaceDE/>
        <w:autoSpaceDN/>
        <w:bidi w:val="0"/>
        <w:snapToGrid w:val="0"/>
        <w:spacing w:before="240" w:line="560" w:lineRule="exact"/>
        <w:jc w:val="center"/>
        <w:textAlignment w:val="auto"/>
        <w:rPr>
          <w:rFonts w:hint="eastAsia" w:ascii="仿宋" w:hAnsi="仿宋" w:eastAsia="仿宋" w:cs="宋体"/>
          <w:b/>
          <w:bCs/>
          <w:kern w:val="0"/>
          <w:sz w:val="32"/>
          <w:szCs w:val="32"/>
          <w:highlight w:val="none"/>
        </w:rPr>
      </w:pPr>
      <w:r>
        <w:rPr>
          <w:rFonts w:hint="eastAsia" w:ascii="黑体" w:hAnsi="黑体" w:eastAsia="黑体" w:cs="宋体"/>
          <w:bCs/>
          <w:kern w:val="0"/>
          <w:sz w:val="32"/>
          <w:szCs w:val="32"/>
          <w:highlight w:val="none"/>
        </w:rPr>
        <w:t>第七章  附</w:t>
      </w:r>
      <w:r>
        <w:rPr>
          <w:rFonts w:hint="eastAsia" w:ascii="黑体" w:hAnsi="黑体" w:eastAsia="黑体" w:cs="宋体"/>
          <w:bCs/>
          <w:kern w:val="0"/>
          <w:sz w:val="32"/>
          <w:szCs w:val="32"/>
          <w:highlight w:val="none"/>
          <w:lang w:val="en-US" w:eastAsia="zh-CN"/>
        </w:rPr>
        <w:t xml:space="preserve">  </w:t>
      </w:r>
      <w:r>
        <w:rPr>
          <w:rFonts w:hint="eastAsia" w:ascii="黑体" w:hAnsi="黑体" w:eastAsia="黑体" w:cs="宋体"/>
          <w:bCs/>
          <w:kern w:val="0"/>
          <w:sz w:val="32"/>
          <w:szCs w:val="32"/>
          <w:highlight w:val="none"/>
        </w:rPr>
        <w:t>则</w:t>
      </w:r>
      <w:r>
        <w:rPr>
          <w:rFonts w:hint="eastAsia" w:ascii="仿宋" w:hAnsi="仿宋" w:eastAsia="仿宋" w:cs="宋体"/>
          <w:b/>
          <w:bCs/>
          <w:kern w:val="0"/>
          <w:sz w:val="32"/>
          <w:szCs w:val="32"/>
          <w:highlight w:val="none"/>
        </w:rPr>
        <w:t xml:space="preserve"> </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黑体" w:hAnsi="黑体" w:eastAsia="黑体" w:cs="宋体"/>
          <w:bCs/>
          <w:kern w:val="0"/>
          <w:sz w:val="32"/>
          <w:szCs w:val="32"/>
          <w:highlight w:val="none"/>
        </w:rPr>
        <w:t>第三十条</w:t>
      </w:r>
      <w:r>
        <w:rPr>
          <w:rFonts w:ascii="仿宋" w:hAnsi="仿宋" w:eastAsia="仿宋" w:cs="Arial"/>
          <w:kern w:val="0"/>
          <w:sz w:val="32"/>
          <w:szCs w:val="32"/>
          <w:highlight w:val="none"/>
        </w:rPr>
        <w:t xml:space="preserve">  </w:t>
      </w:r>
      <w:r>
        <w:rPr>
          <w:rFonts w:hint="eastAsia" w:ascii="仿宋_GB2312" w:hAnsi="仿宋_GB2312" w:eastAsia="仿宋_GB2312" w:cs="仿宋_GB2312"/>
          <w:kern w:val="0"/>
          <w:sz w:val="32"/>
          <w:szCs w:val="32"/>
          <w:highlight w:val="none"/>
        </w:rPr>
        <w:t>自治区党委组织部、自治区公务员局组织的调训和统一培训，自治区外专局组织的出国（境）培训以及相关部门组织的援外培训，不适用本办法，按有关规定执行。</w:t>
      </w:r>
    </w:p>
    <w:p>
      <w:pPr>
        <w:keepNext w:val="0"/>
        <w:keepLines w:val="0"/>
        <w:pageBreakBefore w:val="0"/>
        <w:shd w:val="clear" w:color="auto" w:fill="FFFFFF"/>
        <w:kinsoku/>
        <w:wordWrap/>
        <w:overflowPunct/>
        <w:topLinePunct w:val="0"/>
        <w:autoSpaceDE/>
        <w:autoSpaceDN/>
        <w:bidi w:val="0"/>
        <w:spacing w:line="560" w:lineRule="exact"/>
        <w:ind w:firstLine="640" w:firstLineChars="200"/>
        <w:jc w:val="left"/>
        <w:textAlignment w:val="auto"/>
        <w:rPr>
          <w:rFonts w:ascii="仿宋" w:hAnsi="仿宋" w:eastAsia="仿宋" w:cs="Arial"/>
          <w:kern w:val="0"/>
          <w:sz w:val="32"/>
          <w:szCs w:val="32"/>
          <w:highlight w:val="none"/>
        </w:rPr>
      </w:pPr>
      <w:r>
        <w:rPr>
          <w:rFonts w:hint="eastAsia" w:ascii="黑体" w:hAnsi="黑体" w:eastAsia="黑体" w:cs="宋体"/>
          <w:bCs/>
          <w:kern w:val="0"/>
          <w:sz w:val="32"/>
          <w:szCs w:val="32"/>
          <w:highlight w:val="none"/>
        </w:rPr>
        <w:t>第三十一条</w:t>
      </w:r>
      <w:r>
        <w:rPr>
          <w:rFonts w:ascii="仿宋" w:hAnsi="仿宋" w:eastAsia="仿宋" w:cs="Arial"/>
          <w:kern w:val="0"/>
          <w:sz w:val="32"/>
          <w:szCs w:val="32"/>
          <w:highlight w:val="none"/>
        </w:rPr>
        <w:t xml:space="preserve">  </w:t>
      </w:r>
      <w:r>
        <w:rPr>
          <w:rFonts w:hint="eastAsia" w:ascii="仿宋_GB2312" w:hAnsi="仿宋_GB2312" w:eastAsia="仿宋_GB2312" w:cs="仿宋_GB2312"/>
          <w:kern w:val="0"/>
          <w:sz w:val="32"/>
          <w:szCs w:val="32"/>
          <w:highlight w:val="none"/>
        </w:rPr>
        <w:t>院属各单位培训费管理参照本办法执行。</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宋体"/>
          <w:bCs/>
          <w:kern w:val="0"/>
          <w:sz w:val="32"/>
          <w:szCs w:val="32"/>
          <w:highlight w:val="none"/>
          <w:lang w:val="en-US" w:eastAsia="zh-CN"/>
        </w:rPr>
        <w:t xml:space="preserve">    </w:t>
      </w:r>
      <w:r>
        <w:rPr>
          <w:rFonts w:hint="eastAsia" w:ascii="黑体" w:hAnsi="黑体" w:eastAsia="黑体" w:cs="宋体"/>
          <w:bCs/>
          <w:kern w:val="0"/>
          <w:sz w:val="32"/>
          <w:szCs w:val="32"/>
          <w:highlight w:val="none"/>
        </w:rPr>
        <w:t>第三十二条</w:t>
      </w:r>
      <w:r>
        <w:rPr>
          <w:rFonts w:hint="eastAsia" w:ascii="仿宋" w:hAnsi="仿宋" w:eastAsia="仿宋" w:cs="宋体"/>
          <w:bCs/>
          <w:kern w:val="0"/>
          <w:sz w:val="32"/>
          <w:szCs w:val="32"/>
          <w:highlight w:val="none"/>
        </w:rPr>
        <w:t xml:space="preserve"> </w:t>
      </w:r>
      <w:r>
        <w:rPr>
          <w:rFonts w:hint="eastAsia" w:ascii="仿宋_GB2312" w:hAnsi="仿宋_GB2312" w:eastAsia="仿宋_GB2312" w:cs="仿宋_GB2312"/>
          <w:bCs/>
          <w:kern w:val="0"/>
          <w:sz w:val="32"/>
          <w:szCs w:val="32"/>
          <w:highlight w:val="none"/>
        </w:rPr>
        <w:t xml:space="preserve"> </w:t>
      </w:r>
      <w:r>
        <w:rPr>
          <w:rFonts w:hint="eastAsia" w:ascii="仿宋_GB2312" w:hAnsi="仿宋_GB2312" w:eastAsia="仿宋_GB2312" w:cs="仿宋_GB2312"/>
          <w:bCs/>
          <w:spacing w:val="-6"/>
          <w:kern w:val="0"/>
          <w:sz w:val="32"/>
          <w:szCs w:val="32"/>
          <w:highlight w:val="none"/>
        </w:rPr>
        <w:t>本办法由</w:t>
      </w:r>
      <w:r>
        <w:rPr>
          <w:rFonts w:hint="eastAsia" w:ascii="仿宋_GB2312" w:hAnsi="仿宋_GB2312" w:eastAsia="仿宋_GB2312" w:cs="仿宋_GB2312"/>
          <w:bCs/>
          <w:color w:val="000000"/>
          <w:spacing w:val="-6"/>
          <w:kern w:val="0"/>
          <w:sz w:val="32"/>
          <w:szCs w:val="32"/>
          <w:highlight w:val="none"/>
        </w:rPr>
        <w:t>院计财</w:t>
      </w:r>
      <w:r>
        <w:rPr>
          <w:rFonts w:hint="eastAsia" w:ascii="仿宋_GB2312" w:hAnsi="仿宋_GB2312" w:eastAsia="仿宋_GB2312" w:cs="仿宋_GB2312"/>
          <w:bCs/>
          <w:spacing w:val="-6"/>
          <w:kern w:val="0"/>
          <w:sz w:val="32"/>
          <w:szCs w:val="32"/>
          <w:highlight w:val="none"/>
        </w:rPr>
        <w:t>处负责解释，</w:t>
      </w:r>
      <w:r>
        <w:rPr>
          <w:rFonts w:hint="eastAsia" w:ascii="仿宋_GB2312" w:hAnsi="仿宋_GB2312" w:eastAsia="仿宋_GB2312" w:cs="仿宋_GB2312"/>
          <w:bCs/>
          <w:spacing w:val="-6"/>
          <w:kern w:val="0"/>
          <w:sz w:val="32"/>
          <w:szCs w:val="32"/>
          <w:highlight w:val="none"/>
          <w:lang w:val="en-US" w:eastAsia="zh-CN"/>
        </w:rPr>
        <w:t>自印发之日起执行。</w:t>
      </w:r>
      <w:r>
        <w:rPr>
          <w:rFonts w:hint="eastAsia" w:ascii="仿宋_GB2312" w:hAnsi="仿宋_GB2312" w:eastAsia="仿宋_GB2312" w:cs="仿宋_GB2312"/>
          <w:sz w:val="32"/>
          <w:szCs w:val="32"/>
          <w:highlight w:val="none"/>
        </w:rPr>
        <w:t>2019年</w:t>
      </w:r>
      <w:r>
        <w:rPr>
          <w:rFonts w:hint="eastAsia" w:ascii="仿宋_GB2312" w:hAnsi="仿宋_GB2312" w:eastAsia="仿宋_GB2312" w:cs="仿宋_GB2312"/>
          <w:bCs/>
          <w:spacing w:val="-6"/>
          <w:kern w:val="0"/>
          <w:sz w:val="32"/>
          <w:szCs w:val="32"/>
          <w:highlight w:val="none"/>
          <w:lang w:val="en-US" w:eastAsia="zh-CN"/>
        </w:rPr>
        <w:t>印发的</w:t>
      </w:r>
      <w:r>
        <w:rPr>
          <w:rFonts w:hint="eastAsia" w:ascii="仿宋_GB2312" w:hAnsi="仿宋_GB2312" w:eastAsia="仿宋_GB2312" w:cs="仿宋_GB2312"/>
          <w:sz w:val="32"/>
          <w:szCs w:val="32"/>
          <w:highlight w:val="none"/>
        </w:rPr>
        <w:t>《广西农业科学院培训费管理办法(</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桂农科发〔2019〕1号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同时废止。</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highlight w:val="none"/>
          <w:lang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附件：广西农业科学院培训申请表</w:t>
      </w:r>
    </w:p>
    <w:p>
      <w:pPr>
        <w:snapToGrid w:val="0"/>
        <w:spacing w:line="580" w:lineRule="exact"/>
        <w:ind w:firstLine="645"/>
        <w:rPr>
          <w:rFonts w:hint="eastAsia" w:ascii="仿宋" w:hAnsi="仿宋" w:eastAsia="仿宋" w:cs="宋体"/>
          <w:bCs/>
          <w:kern w:val="0"/>
          <w:sz w:val="32"/>
          <w:szCs w:val="32"/>
          <w:highlight w:val="none"/>
        </w:rPr>
      </w:pPr>
    </w:p>
    <w:p>
      <w:pPr>
        <w:snapToGrid w:val="0"/>
        <w:spacing w:line="580" w:lineRule="exact"/>
        <w:ind w:firstLine="645"/>
        <w:rPr>
          <w:rFonts w:hint="eastAsia" w:ascii="仿宋" w:hAnsi="仿宋" w:eastAsia="仿宋" w:cs="宋体"/>
          <w:bCs/>
          <w:kern w:val="0"/>
          <w:sz w:val="32"/>
          <w:szCs w:val="32"/>
          <w:highlight w:val="none"/>
        </w:rPr>
      </w:pPr>
    </w:p>
    <w:p>
      <w:pPr>
        <w:snapToGrid w:val="0"/>
        <w:spacing w:line="580" w:lineRule="exact"/>
        <w:rPr>
          <w:rFonts w:hint="eastAsia" w:ascii="仿宋_GB2312" w:eastAsia="仿宋_GB2312"/>
          <w:sz w:val="32"/>
          <w:szCs w:val="32"/>
          <w:highlight w:val="none"/>
        </w:rPr>
      </w:pPr>
    </w:p>
    <w:p>
      <w:pPr>
        <w:snapToGrid w:val="0"/>
        <w:spacing w:line="580" w:lineRule="exact"/>
        <w:rPr>
          <w:rFonts w:hint="eastAsia" w:ascii="仿宋_GB2312" w:eastAsia="仿宋_GB2312"/>
          <w:sz w:val="32"/>
          <w:szCs w:val="32"/>
          <w:highlight w:val="none"/>
        </w:rPr>
      </w:pPr>
    </w:p>
    <w:p>
      <w:pPr>
        <w:snapToGrid w:val="0"/>
        <w:spacing w:line="580" w:lineRule="exact"/>
        <w:rPr>
          <w:rFonts w:hint="eastAsia" w:ascii="仿宋_GB2312" w:eastAsia="仿宋_GB2312"/>
          <w:sz w:val="32"/>
          <w:szCs w:val="32"/>
          <w:highlight w:val="none"/>
        </w:rPr>
      </w:pPr>
    </w:p>
    <w:p>
      <w:pPr>
        <w:snapToGrid w:val="0"/>
        <w:spacing w:line="580" w:lineRule="exact"/>
        <w:rPr>
          <w:rFonts w:hint="eastAsia" w:ascii="仿宋_GB2312" w:eastAsia="仿宋_GB2312"/>
          <w:sz w:val="32"/>
          <w:szCs w:val="32"/>
          <w:highlight w:val="none"/>
        </w:rPr>
      </w:pPr>
    </w:p>
    <w:p>
      <w:pPr>
        <w:snapToGrid w:val="0"/>
        <w:spacing w:line="580" w:lineRule="exact"/>
        <w:rPr>
          <w:rFonts w:hint="eastAsia" w:ascii="仿宋_GB2312" w:eastAsia="仿宋_GB2312"/>
          <w:sz w:val="32"/>
          <w:szCs w:val="32"/>
          <w:highlight w:val="none"/>
        </w:rPr>
      </w:pPr>
    </w:p>
    <w:p>
      <w:pPr>
        <w:snapToGrid w:val="0"/>
        <w:spacing w:line="580" w:lineRule="exact"/>
        <w:rPr>
          <w:rFonts w:hint="eastAsia" w:ascii="仿宋_GB2312" w:eastAsia="仿宋_GB2312"/>
          <w:sz w:val="32"/>
          <w:szCs w:val="32"/>
          <w:highlight w:val="none"/>
        </w:rPr>
      </w:pPr>
    </w:p>
    <w:p>
      <w:pPr>
        <w:snapToGrid w:val="0"/>
        <w:spacing w:line="580" w:lineRule="exact"/>
        <w:rPr>
          <w:rFonts w:hint="eastAsia" w:ascii="仿宋_GB2312" w:eastAsia="仿宋_GB2312"/>
          <w:sz w:val="32"/>
          <w:szCs w:val="32"/>
          <w:highlight w:val="none"/>
        </w:rPr>
      </w:pPr>
    </w:p>
    <w:tbl>
      <w:tblPr>
        <w:tblStyle w:val="6"/>
        <w:tblW w:w="9090" w:type="dxa"/>
        <w:jc w:val="center"/>
        <w:tblLayout w:type="autofit"/>
        <w:tblCellMar>
          <w:top w:w="0" w:type="dxa"/>
          <w:left w:w="108" w:type="dxa"/>
          <w:bottom w:w="0" w:type="dxa"/>
          <w:right w:w="108" w:type="dxa"/>
        </w:tblCellMar>
      </w:tblPr>
      <w:tblGrid>
        <w:gridCol w:w="2278"/>
        <w:gridCol w:w="2054"/>
        <w:gridCol w:w="2723"/>
        <w:gridCol w:w="2035"/>
      </w:tblGrid>
      <w:tr>
        <w:trPr>
          <w:trHeight w:val="930" w:hRule="atLeast"/>
          <w:jc w:val="center"/>
        </w:trPr>
        <w:tc>
          <w:tcPr>
            <w:tcW w:w="9090" w:type="dxa"/>
            <w:gridSpan w:val="4"/>
            <w:tcBorders>
              <w:top w:val="nil"/>
              <w:left w:val="nil"/>
              <w:bottom w:val="nil"/>
              <w:right w:val="nil"/>
            </w:tcBorders>
            <w:noWrap/>
            <w:vAlign w:val="center"/>
          </w:tcPr>
          <w:p>
            <w:pPr>
              <w:widowControl/>
              <w:spacing w:before="0" w:after="0" w:line="240" w:lineRule="auto"/>
              <w:jc w:val="left"/>
              <w:rPr>
                <w:rFonts w:hint="eastAsia" w:ascii="黑体" w:hAnsi="黑体" w:eastAsia="黑体" w:cs="黑体"/>
                <w:b w:val="0"/>
                <w:kern w:val="0"/>
                <w:sz w:val="32"/>
                <w:szCs w:val="32"/>
                <w:highlight w:val="none"/>
              </w:rPr>
            </w:pPr>
            <w:r>
              <w:rPr>
                <w:rFonts w:hint="eastAsia" w:ascii="黑体" w:hAnsi="黑体" w:eastAsia="黑体" w:cs="黑体"/>
                <w:b w:val="0"/>
                <w:bCs w:val="0"/>
                <w:kern w:val="0"/>
                <w:sz w:val="32"/>
                <w:szCs w:val="32"/>
                <w:highlight w:val="none"/>
              </w:rPr>
              <w:t>附件</w:t>
            </w:r>
          </w:p>
          <w:p>
            <w:pPr>
              <w:spacing w:before="156" w:after="156" w:line="460" w:lineRule="exact"/>
              <w:jc w:val="center"/>
              <w:rPr>
                <w:rFonts w:ascii="宋体" w:hAnsi="宋体" w:cs="宋体"/>
                <w:b/>
                <w:bCs/>
                <w:color w:val="000000"/>
                <w:kern w:val="0"/>
                <w:sz w:val="24"/>
                <w:szCs w:val="24"/>
                <w:highlight w:val="none"/>
              </w:rPr>
            </w:pPr>
            <w:r>
              <w:rPr>
                <w:rFonts w:hint="eastAsia" w:ascii="方正小标宋简体" w:hAnsi="方正小标宋简体" w:eastAsia="方正小标宋简体" w:cs="方正小标宋简体"/>
                <w:bCs/>
                <w:kern w:val="0"/>
                <w:sz w:val="32"/>
                <w:szCs w:val="32"/>
                <w:highlight w:val="none"/>
              </w:rPr>
              <w:t>广西农业科学院培训申请表</w:t>
            </w:r>
          </w:p>
        </w:tc>
      </w:tr>
      <w:tr>
        <w:trPr>
          <w:trHeight w:val="345" w:hRule="atLeast"/>
          <w:jc w:val="center"/>
        </w:trPr>
        <w:tc>
          <w:tcPr>
            <w:tcW w:w="2278" w:type="dxa"/>
            <w:tcBorders>
              <w:top w:val="nil"/>
              <w:left w:val="nil"/>
              <w:bottom w:val="single" w:color="auto" w:sz="4" w:space="0"/>
              <w:right w:val="nil"/>
            </w:tcBorders>
            <w:noWrap/>
            <w:vAlign w:val="center"/>
          </w:tcPr>
          <w:p>
            <w:pPr>
              <w:widowControl/>
              <w:rPr>
                <w:rFonts w:hint="eastAsia" w:ascii="仿宋_GB2312" w:hAnsi="仿宋_GB2312" w:eastAsia="仿宋_GB2312" w:cs="仿宋_GB2312"/>
                <w:b/>
                <w:bCs/>
                <w:color w:val="000000"/>
                <w:kern w:val="0"/>
                <w:sz w:val="28"/>
                <w:szCs w:val="28"/>
                <w:highlight w:val="none"/>
              </w:rPr>
            </w:pPr>
          </w:p>
        </w:tc>
        <w:tc>
          <w:tcPr>
            <w:tcW w:w="4777" w:type="dxa"/>
            <w:gridSpan w:val="2"/>
            <w:tcBorders>
              <w:top w:val="nil"/>
              <w:left w:val="nil"/>
              <w:bottom w:val="single" w:color="auto" w:sz="4" w:space="0"/>
              <w:right w:val="nil"/>
            </w:tcBorders>
            <w:noWrap/>
            <w:vAlign w:val="center"/>
          </w:tcPr>
          <w:p>
            <w:pPr>
              <w:widowControl/>
              <w:spacing w:line="460" w:lineRule="exact"/>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 xml:space="preserve">     日期：</w:t>
            </w:r>
          </w:p>
        </w:tc>
        <w:tc>
          <w:tcPr>
            <w:tcW w:w="2035" w:type="dxa"/>
            <w:tcBorders>
              <w:top w:val="nil"/>
              <w:left w:val="nil"/>
              <w:bottom w:val="single" w:color="auto" w:sz="4" w:space="0"/>
              <w:right w:val="nil"/>
            </w:tcBorders>
            <w:noWrap/>
            <w:vAlign w:val="center"/>
          </w:tcPr>
          <w:p>
            <w:pPr>
              <w:widowControl/>
              <w:spacing w:line="460" w:lineRule="exact"/>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年   月   日</w:t>
            </w:r>
          </w:p>
        </w:tc>
      </w:tr>
      <w:tr>
        <w:trPr>
          <w:trHeight w:val="499" w:hRule="atLeast"/>
          <w:jc w:val="center"/>
        </w:trPr>
        <w:tc>
          <w:tcPr>
            <w:tcW w:w="2278"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培训班名称</w:t>
            </w:r>
          </w:p>
        </w:tc>
        <w:tc>
          <w:tcPr>
            <w:tcW w:w="2054" w:type="dxa"/>
            <w:tcBorders>
              <w:top w:val="nil"/>
              <w:left w:val="nil"/>
              <w:bottom w:val="single" w:color="auto" w:sz="4" w:space="0"/>
              <w:right w:val="single" w:color="auto" w:sz="4" w:space="0"/>
            </w:tcBorders>
            <w:noWrap/>
            <w:vAlign w:val="center"/>
          </w:tcPr>
          <w:p>
            <w:pPr>
              <w:widowControl/>
              <w:spacing w:line="4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2723" w:type="dxa"/>
            <w:tcBorders>
              <w:top w:val="nil"/>
              <w:left w:val="nil"/>
              <w:bottom w:val="single" w:color="auto" w:sz="4" w:space="0"/>
              <w:right w:val="single" w:color="auto" w:sz="4" w:space="0"/>
            </w:tcBorders>
            <w:noWrap/>
            <w:vAlign w:val="center"/>
          </w:tcPr>
          <w:p>
            <w:pPr>
              <w:widowControl/>
              <w:spacing w:line="460" w:lineRule="exact"/>
              <w:ind w:left="-105" w:leftChars="-50" w:right="-105" w:rightChars="-50"/>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培训形式（主办/外派）</w:t>
            </w:r>
          </w:p>
        </w:tc>
        <w:tc>
          <w:tcPr>
            <w:tcW w:w="2035" w:type="dxa"/>
            <w:tcBorders>
              <w:top w:val="nil"/>
              <w:left w:val="nil"/>
              <w:bottom w:val="single" w:color="auto" w:sz="4" w:space="0"/>
              <w:right w:val="single" w:color="auto" w:sz="4" w:space="0"/>
            </w:tcBorders>
            <w:noWrap/>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r>
      <w:tr>
        <w:trPr>
          <w:trHeight w:val="499" w:hRule="atLeast"/>
          <w:jc w:val="center"/>
        </w:trPr>
        <w:tc>
          <w:tcPr>
            <w:tcW w:w="2278"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培训时间</w:t>
            </w:r>
          </w:p>
        </w:tc>
        <w:tc>
          <w:tcPr>
            <w:tcW w:w="2054" w:type="dxa"/>
            <w:tcBorders>
              <w:top w:val="nil"/>
              <w:left w:val="nil"/>
              <w:bottom w:val="single" w:color="auto" w:sz="4" w:space="0"/>
              <w:right w:val="single" w:color="auto" w:sz="4" w:space="0"/>
            </w:tcBorders>
            <w:noWrap/>
            <w:vAlign w:val="center"/>
          </w:tcPr>
          <w:p>
            <w:pPr>
              <w:widowControl/>
              <w:spacing w:line="4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2723" w:type="dxa"/>
            <w:tcBorders>
              <w:top w:val="nil"/>
              <w:left w:val="nil"/>
              <w:bottom w:val="single" w:color="auto" w:sz="4" w:space="0"/>
              <w:right w:val="single" w:color="auto" w:sz="4" w:space="0"/>
            </w:tcBorders>
            <w:noWrap/>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培训人数</w:t>
            </w:r>
          </w:p>
        </w:tc>
        <w:tc>
          <w:tcPr>
            <w:tcW w:w="2035" w:type="dxa"/>
            <w:tcBorders>
              <w:top w:val="nil"/>
              <w:left w:val="nil"/>
              <w:bottom w:val="single" w:color="auto" w:sz="4" w:space="0"/>
              <w:right w:val="single" w:color="auto" w:sz="4" w:space="0"/>
            </w:tcBorders>
            <w:noWrap/>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r>
      <w:tr>
        <w:trPr>
          <w:trHeight w:val="499" w:hRule="atLeast"/>
          <w:jc w:val="center"/>
        </w:trPr>
        <w:tc>
          <w:tcPr>
            <w:tcW w:w="2278"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培训地点</w:t>
            </w:r>
          </w:p>
        </w:tc>
        <w:tc>
          <w:tcPr>
            <w:tcW w:w="2054" w:type="dxa"/>
            <w:tcBorders>
              <w:top w:val="nil"/>
              <w:left w:val="nil"/>
              <w:bottom w:val="single" w:color="auto" w:sz="4" w:space="0"/>
              <w:right w:val="nil"/>
            </w:tcBorders>
            <w:noWrap/>
            <w:vAlign w:val="center"/>
          </w:tcPr>
          <w:p>
            <w:pPr>
              <w:widowControl/>
              <w:spacing w:line="4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2723" w:type="dxa"/>
            <w:tcBorders>
              <w:top w:val="nil"/>
              <w:left w:val="single" w:color="auto" w:sz="4" w:space="0"/>
              <w:bottom w:val="single" w:color="auto" w:sz="4" w:space="0"/>
              <w:right w:val="single" w:color="auto" w:sz="4" w:space="0"/>
            </w:tcBorders>
            <w:noWrap/>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申请人</w:t>
            </w:r>
          </w:p>
        </w:tc>
        <w:tc>
          <w:tcPr>
            <w:tcW w:w="2035" w:type="dxa"/>
            <w:tcBorders>
              <w:top w:val="nil"/>
              <w:left w:val="nil"/>
              <w:bottom w:val="single" w:color="auto" w:sz="4" w:space="0"/>
              <w:right w:val="single" w:color="auto" w:sz="4" w:space="0"/>
            </w:tcBorders>
            <w:noWrap/>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r>
      <w:tr>
        <w:trPr>
          <w:trHeight w:val="528" w:hRule="atLeast"/>
          <w:jc w:val="center"/>
        </w:trPr>
        <w:tc>
          <w:tcPr>
            <w:tcW w:w="2278"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经费预算</w:t>
            </w:r>
          </w:p>
        </w:tc>
        <w:tc>
          <w:tcPr>
            <w:tcW w:w="2054" w:type="dxa"/>
            <w:tcBorders>
              <w:top w:val="nil"/>
              <w:left w:val="nil"/>
              <w:bottom w:val="single" w:color="auto" w:sz="4" w:space="0"/>
              <w:right w:val="nil"/>
            </w:tcBorders>
            <w:noWrap/>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2723" w:type="dxa"/>
            <w:tcBorders>
              <w:top w:val="nil"/>
              <w:left w:val="nil"/>
              <w:bottom w:val="single" w:color="auto" w:sz="4" w:space="0"/>
              <w:right w:val="nil"/>
            </w:tcBorders>
            <w:noWrap/>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2035" w:type="dxa"/>
            <w:tcBorders>
              <w:top w:val="nil"/>
              <w:left w:val="nil"/>
              <w:bottom w:val="single" w:color="auto" w:sz="4" w:space="0"/>
              <w:right w:val="single" w:color="auto" w:sz="4" w:space="0"/>
            </w:tcBorders>
            <w:noWrap/>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r>
      <w:tr>
        <w:trPr>
          <w:trHeight w:val="835" w:hRule="atLeast"/>
          <w:jc w:val="center"/>
        </w:trPr>
        <w:tc>
          <w:tcPr>
            <w:tcW w:w="2278"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经费支出来源：</w:t>
            </w:r>
          </w:p>
        </w:tc>
        <w:tc>
          <w:tcPr>
            <w:tcW w:w="6812" w:type="dxa"/>
            <w:gridSpan w:val="3"/>
            <w:tcBorders>
              <w:top w:val="single" w:color="auto" w:sz="4" w:space="0"/>
              <w:left w:val="nil"/>
              <w:bottom w:val="single" w:color="auto" w:sz="4" w:space="0"/>
              <w:right w:val="single" w:color="000000" w:sz="4" w:space="0"/>
            </w:tcBorders>
            <w:noWrap/>
            <w:vAlign w:val="center"/>
          </w:tcPr>
          <w:p>
            <w:pPr>
              <w:widowControl/>
              <w:spacing w:line="4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r>
      <w:tr>
        <w:trPr>
          <w:trHeight w:val="540"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部门/课题组意见：</w:t>
            </w:r>
          </w:p>
        </w:tc>
        <w:tc>
          <w:tcPr>
            <w:tcW w:w="6812" w:type="dxa"/>
            <w:gridSpan w:val="3"/>
            <w:tcBorders>
              <w:top w:val="single" w:color="auto" w:sz="4" w:space="0"/>
              <w:left w:val="nil"/>
              <w:bottom w:val="nil"/>
              <w:right w:val="single" w:color="000000" w:sz="4" w:space="0"/>
            </w:tcBorders>
            <w:noWrap/>
            <w:vAlign w:val="center"/>
          </w:tcPr>
          <w:p>
            <w:pPr>
              <w:widowControl/>
              <w:spacing w:line="52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r>
      <w:tr>
        <w:trPr>
          <w:trHeight w:val="420" w:hRule="atLeast"/>
          <w:jc w:val="center"/>
        </w:trPr>
        <w:tc>
          <w:tcPr>
            <w:tcW w:w="2278" w:type="dxa"/>
            <w:tcBorders>
              <w:top w:val="nil"/>
              <w:left w:val="single" w:color="auto" w:sz="4" w:space="0"/>
              <w:bottom w:val="nil"/>
              <w:right w:val="nil"/>
            </w:tcBorders>
            <w:noWrap/>
            <w:vAlign w:val="center"/>
          </w:tcPr>
          <w:p>
            <w:pPr>
              <w:widowControl/>
              <w:spacing w:line="520" w:lineRule="exact"/>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nil"/>
              <w:right w:val="nil"/>
            </w:tcBorders>
            <w:noWrap/>
            <w:vAlign w:val="center"/>
          </w:tcPr>
          <w:p>
            <w:pPr>
              <w:widowControl/>
              <w:spacing w:line="520" w:lineRule="exact"/>
              <w:jc w:val="right"/>
              <w:rPr>
                <w:rFonts w:hint="eastAsia" w:ascii="仿宋_GB2312" w:hAnsi="仿宋_GB2312" w:eastAsia="仿宋_GB2312" w:cs="仿宋_GB2312"/>
                <w:color w:val="000000"/>
                <w:kern w:val="0"/>
                <w:sz w:val="24"/>
                <w:szCs w:val="24"/>
                <w:highlight w:val="none"/>
              </w:rPr>
            </w:pPr>
          </w:p>
        </w:tc>
        <w:tc>
          <w:tcPr>
            <w:tcW w:w="2723" w:type="dxa"/>
            <w:tcBorders>
              <w:top w:val="nil"/>
              <w:left w:val="nil"/>
              <w:bottom w:val="nil"/>
              <w:right w:val="nil"/>
            </w:tcBorders>
            <w:noWrap/>
            <w:vAlign w:val="center"/>
          </w:tcPr>
          <w:p>
            <w:pPr>
              <w:widowControl/>
              <w:spacing w:line="52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w:t>
            </w:r>
            <w:r>
              <w:rPr>
                <w:rFonts w:hint="eastAsia" w:ascii="仿宋_GB2312" w:hAnsi="仿宋_GB2312" w:eastAsia="仿宋_GB2312" w:cs="仿宋_GB2312"/>
                <w:color w:val="000000"/>
                <w:kern w:val="0"/>
                <w:sz w:val="28"/>
                <w:szCs w:val="28"/>
                <w:highlight w:val="none"/>
              </w:rPr>
              <w:t xml:space="preserve"> 负责人：</w:t>
            </w:r>
          </w:p>
        </w:tc>
        <w:tc>
          <w:tcPr>
            <w:tcW w:w="2035" w:type="dxa"/>
            <w:tcBorders>
              <w:top w:val="nil"/>
              <w:left w:val="nil"/>
              <w:bottom w:val="nil"/>
              <w:right w:val="single" w:color="auto" w:sz="4" w:space="0"/>
            </w:tcBorders>
            <w:noWrap/>
            <w:vAlign w:val="center"/>
          </w:tcPr>
          <w:p>
            <w:pPr>
              <w:widowControl/>
              <w:spacing w:line="52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r>
      <w:tr>
        <w:trPr>
          <w:trHeight w:val="315" w:hRule="atLeast"/>
          <w:jc w:val="center"/>
        </w:trPr>
        <w:tc>
          <w:tcPr>
            <w:tcW w:w="2278" w:type="dxa"/>
            <w:tcBorders>
              <w:top w:val="nil"/>
              <w:left w:val="single" w:color="auto" w:sz="4" w:space="0"/>
              <w:bottom w:val="single" w:color="auto" w:sz="4" w:space="0"/>
              <w:right w:val="nil"/>
            </w:tcBorders>
            <w:noWrap/>
            <w:vAlign w:val="center"/>
          </w:tcPr>
          <w:p>
            <w:pPr>
              <w:widowControl/>
              <w:spacing w:line="520" w:lineRule="exact"/>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single" w:color="auto" w:sz="4" w:space="0"/>
              <w:right w:val="nil"/>
            </w:tcBorders>
            <w:noWrap/>
            <w:vAlign w:val="center"/>
          </w:tcPr>
          <w:p>
            <w:pPr>
              <w:widowControl/>
              <w:spacing w:line="52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4758" w:type="dxa"/>
            <w:gridSpan w:val="2"/>
            <w:tcBorders>
              <w:top w:val="nil"/>
              <w:left w:val="nil"/>
              <w:bottom w:val="single" w:color="auto" w:sz="4" w:space="0"/>
              <w:right w:val="single" w:color="000000" w:sz="4" w:space="0"/>
            </w:tcBorders>
            <w:noWrap/>
            <w:vAlign w:val="center"/>
          </w:tcPr>
          <w:p>
            <w:pPr>
              <w:widowControl/>
              <w:spacing w:line="520" w:lineRule="exact"/>
              <w:ind w:firstLine="560" w:firstLineChars="200"/>
              <w:jc w:val="both"/>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8"/>
                <w:szCs w:val="28"/>
                <w:highlight w:val="none"/>
              </w:rPr>
              <w:t>日期：</w:t>
            </w:r>
            <w:r>
              <w:rPr>
                <w:rFonts w:hint="eastAsia" w:ascii="仿宋_GB2312" w:hAnsi="仿宋_GB2312" w:eastAsia="仿宋_GB2312" w:cs="仿宋_GB2312"/>
                <w:color w:val="000000"/>
                <w:kern w:val="0"/>
                <w:sz w:val="24"/>
                <w:szCs w:val="24"/>
                <w:highlight w:val="none"/>
              </w:rPr>
              <w:t xml:space="preserve">    年     月     日</w:t>
            </w:r>
          </w:p>
        </w:tc>
      </w:tr>
      <w:tr>
        <w:trPr>
          <w:trHeight w:val="525"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人事部门意见：</w:t>
            </w:r>
          </w:p>
        </w:tc>
        <w:tc>
          <w:tcPr>
            <w:tcW w:w="6812" w:type="dxa"/>
            <w:gridSpan w:val="3"/>
            <w:tcBorders>
              <w:top w:val="single" w:color="auto" w:sz="4" w:space="0"/>
              <w:left w:val="nil"/>
              <w:bottom w:val="nil"/>
              <w:right w:val="single" w:color="000000" w:sz="4" w:space="0"/>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r>
      <w:tr>
        <w:trPr>
          <w:trHeight w:val="315"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nil"/>
              <w:right w:val="nil"/>
            </w:tcBorders>
            <w:noWrap/>
            <w:vAlign w:val="center"/>
          </w:tcPr>
          <w:p>
            <w:pPr>
              <w:widowControl/>
              <w:spacing w:line="520" w:lineRule="exact"/>
              <w:ind w:left="-105" w:leftChars="-50" w:right="-210" w:rightChars="-100"/>
              <w:jc w:val="right"/>
              <w:rPr>
                <w:rFonts w:hint="eastAsia" w:ascii="仿宋_GB2312" w:hAnsi="仿宋_GB2312" w:eastAsia="仿宋_GB2312" w:cs="仿宋_GB2312"/>
                <w:color w:val="000000"/>
                <w:kern w:val="0"/>
                <w:sz w:val="28"/>
                <w:szCs w:val="28"/>
                <w:highlight w:val="none"/>
              </w:rPr>
            </w:pPr>
          </w:p>
        </w:tc>
        <w:tc>
          <w:tcPr>
            <w:tcW w:w="2723" w:type="dxa"/>
            <w:tcBorders>
              <w:top w:val="nil"/>
              <w:left w:val="nil"/>
              <w:bottom w:val="nil"/>
              <w:right w:val="nil"/>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    负责人：</w:t>
            </w:r>
          </w:p>
        </w:tc>
        <w:tc>
          <w:tcPr>
            <w:tcW w:w="2035" w:type="dxa"/>
            <w:tcBorders>
              <w:top w:val="nil"/>
              <w:left w:val="nil"/>
              <w:bottom w:val="nil"/>
              <w:right w:val="single" w:color="auto" w:sz="4" w:space="0"/>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r>
      <w:tr>
        <w:trPr>
          <w:trHeight w:val="315" w:hRule="atLeast"/>
          <w:jc w:val="center"/>
        </w:trPr>
        <w:tc>
          <w:tcPr>
            <w:tcW w:w="2278" w:type="dxa"/>
            <w:tcBorders>
              <w:top w:val="nil"/>
              <w:left w:val="single" w:color="auto" w:sz="4" w:space="0"/>
              <w:bottom w:val="single" w:color="auto" w:sz="4" w:space="0"/>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single" w:color="auto" w:sz="4" w:space="0"/>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4758" w:type="dxa"/>
            <w:gridSpan w:val="2"/>
            <w:tcBorders>
              <w:top w:val="nil"/>
              <w:left w:val="nil"/>
              <w:bottom w:val="single" w:color="auto" w:sz="4" w:space="0"/>
              <w:right w:val="single" w:color="000000" w:sz="4" w:space="0"/>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日期：    年     月     日</w:t>
            </w:r>
          </w:p>
        </w:tc>
      </w:tr>
      <w:tr>
        <w:trPr>
          <w:trHeight w:val="525"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财务部门意见：</w:t>
            </w:r>
          </w:p>
        </w:tc>
        <w:tc>
          <w:tcPr>
            <w:tcW w:w="6812" w:type="dxa"/>
            <w:gridSpan w:val="3"/>
            <w:tcBorders>
              <w:top w:val="single" w:color="auto" w:sz="4" w:space="0"/>
              <w:left w:val="nil"/>
              <w:bottom w:val="nil"/>
              <w:right w:val="single" w:color="000000" w:sz="4" w:space="0"/>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r>
      <w:tr>
        <w:trPr>
          <w:trHeight w:val="435"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nil"/>
              <w:right w:val="nil"/>
            </w:tcBorders>
            <w:noWrap/>
            <w:vAlign w:val="center"/>
          </w:tcPr>
          <w:p>
            <w:pPr>
              <w:widowControl/>
              <w:spacing w:line="520" w:lineRule="exact"/>
              <w:ind w:left="-105" w:leftChars="-50" w:right="-210" w:rightChars="-100"/>
              <w:jc w:val="right"/>
              <w:rPr>
                <w:rFonts w:hint="eastAsia" w:ascii="仿宋_GB2312" w:hAnsi="仿宋_GB2312" w:eastAsia="仿宋_GB2312" w:cs="仿宋_GB2312"/>
                <w:color w:val="000000"/>
                <w:kern w:val="0"/>
                <w:sz w:val="28"/>
                <w:szCs w:val="28"/>
                <w:highlight w:val="none"/>
              </w:rPr>
            </w:pPr>
          </w:p>
        </w:tc>
        <w:tc>
          <w:tcPr>
            <w:tcW w:w="2723" w:type="dxa"/>
            <w:tcBorders>
              <w:top w:val="nil"/>
              <w:left w:val="nil"/>
              <w:bottom w:val="nil"/>
              <w:right w:val="nil"/>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    负责人：</w:t>
            </w:r>
          </w:p>
        </w:tc>
        <w:tc>
          <w:tcPr>
            <w:tcW w:w="2035" w:type="dxa"/>
            <w:tcBorders>
              <w:top w:val="nil"/>
              <w:left w:val="nil"/>
              <w:bottom w:val="nil"/>
              <w:right w:val="single" w:color="auto" w:sz="4" w:space="0"/>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r>
      <w:tr>
        <w:trPr>
          <w:trHeight w:val="315" w:hRule="atLeast"/>
          <w:jc w:val="center"/>
        </w:trPr>
        <w:tc>
          <w:tcPr>
            <w:tcW w:w="2278" w:type="dxa"/>
            <w:tcBorders>
              <w:top w:val="nil"/>
              <w:left w:val="single" w:color="auto" w:sz="4" w:space="0"/>
              <w:bottom w:val="single" w:color="auto" w:sz="4" w:space="0"/>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single" w:color="auto" w:sz="4" w:space="0"/>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4758" w:type="dxa"/>
            <w:gridSpan w:val="2"/>
            <w:tcBorders>
              <w:top w:val="nil"/>
              <w:left w:val="nil"/>
              <w:bottom w:val="single" w:color="auto" w:sz="4" w:space="0"/>
              <w:right w:val="single" w:color="000000" w:sz="4" w:space="0"/>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日期：    年     月     日</w:t>
            </w:r>
          </w:p>
        </w:tc>
      </w:tr>
      <w:tr>
        <w:trPr>
          <w:trHeight w:val="540"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分管领导意见：</w:t>
            </w:r>
          </w:p>
        </w:tc>
        <w:tc>
          <w:tcPr>
            <w:tcW w:w="6812" w:type="dxa"/>
            <w:gridSpan w:val="3"/>
            <w:tcBorders>
              <w:top w:val="single" w:color="auto" w:sz="4" w:space="0"/>
              <w:left w:val="nil"/>
              <w:bottom w:val="nil"/>
              <w:right w:val="single" w:color="000000" w:sz="4" w:space="0"/>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r>
      <w:tr>
        <w:trPr>
          <w:trHeight w:val="480"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nil"/>
              <w:right w:val="nil"/>
            </w:tcBorders>
            <w:noWrap/>
            <w:vAlign w:val="center"/>
          </w:tcPr>
          <w:p>
            <w:pPr>
              <w:widowControl/>
              <w:spacing w:line="520" w:lineRule="exact"/>
              <w:ind w:left="-105" w:leftChars="-50" w:right="-210" w:rightChars="-100"/>
              <w:jc w:val="right"/>
              <w:rPr>
                <w:rFonts w:hint="eastAsia" w:ascii="仿宋_GB2312" w:hAnsi="仿宋_GB2312" w:eastAsia="仿宋_GB2312" w:cs="仿宋_GB2312"/>
                <w:color w:val="000000"/>
                <w:kern w:val="0"/>
                <w:sz w:val="28"/>
                <w:szCs w:val="28"/>
                <w:highlight w:val="none"/>
              </w:rPr>
            </w:pPr>
          </w:p>
        </w:tc>
        <w:tc>
          <w:tcPr>
            <w:tcW w:w="2723" w:type="dxa"/>
            <w:tcBorders>
              <w:top w:val="nil"/>
              <w:left w:val="nil"/>
              <w:bottom w:val="nil"/>
              <w:right w:val="nil"/>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    负责人：</w:t>
            </w:r>
          </w:p>
        </w:tc>
        <w:tc>
          <w:tcPr>
            <w:tcW w:w="2035" w:type="dxa"/>
            <w:tcBorders>
              <w:top w:val="nil"/>
              <w:left w:val="nil"/>
              <w:bottom w:val="nil"/>
              <w:right w:val="single" w:color="auto" w:sz="4" w:space="0"/>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r>
      <w:tr>
        <w:trPr>
          <w:trHeight w:val="300" w:hRule="atLeast"/>
          <w:jc w:val="center"/>
        </w:trPr>
        <w:tc>
          <w:tcPr>
            <w:tcW w:w="2278" w:type="dxa"/>
            <w:tcBorders>
              <w:top w:val="nil"/>
              <w:left w:val="single" w:color="auto" w:sz="4" w:space="0"/>
              <w:bottom w:val="single" w:color="auto" w:sz="4" w:space="0"/>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single" w:color="auto" w:sz="4" w:space="0"/>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4758" w:type="dxa"/>
            <w:gridSpan w:val="2"/>
            <w:tcBorders>
              <w:top w:val="nil"/>
              <w:left w:val="nil"/>
              <w:bottom w:val="single" w:color="auto" w:sz="4" w:space="0"/>
              <w:right w:val="single" w:color="000000" w:sz="4" w:space="0"/>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日期：    年     月     日</w:t>
            </w:r>
          </w:p>
        </w:tc>
      </w:tr>
      <w:tr>
        <w:trPr>
          <w:trHeight w:val="555"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单位领导意见：</w:t>
            </w:r>
          </w:p>
        </w:tc>
        <w:tc>
          <w:tcPr>
            <w:tcW w:w="6812" w:type="dxa"/>
            <w:gridSpan w:val="3"/>
            <w:tcBorders>
              <w:top w:val="single" w:color="auto" w:sz="4" w:space="0"/>
              <w:left w:val="nil"/>
              <w:bottom w:val="nil"/>
              <w:right w:val="single" w:color="000000" w:sz="4" w:space="0"/>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r>
      <w:tr>
        <w:trPr>
          <w:trHeight w:val="390" w:hRule="atLeast"/>
          <w:jc w:val="center"/>
        </w:trPr>
        <w:tc>
          <w:tcPr>
            <w:tcW w:w="2278" w:type="dxa"/>
            <w:tcBorders>
              <w:top w:val="nil"/>
              <w:left w:val="single" w:color="auto" w:sz="4" w:space="0"/>
              <w:bottom w:val="nil"/>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nil"/>
              <w:right w:val="nil"/>
            </w:tcBorders>
            <w:noWrap/>
            <w:vAlign w:val="center"/>
          </w:tcPr>
          <w:p>
            <w:pPr>
              <w:widowControl/>
              <w:spacing w:line="520" w:lineRule="exact"/>
              <w:ind w:left="-105" w:leftChars="-50" w:right="-210" w:rightChars="-100"/>
              <w:jc w:val="right"/>
              <w:rPr>
                <w:rFonts w:hint="eastAsia" w:ascii="仿宋_GB2312" w:hAnsi="仿宋_GB2312" w:eastAsia="仿宋_GB2312" w:cs="仿宋_GB2312"/>
                <w:color w:val="000000"/>
                <w:kern w:val="0"/>
                <w:sz w:val="28"/>
                <w:szCs w:val="28"/>
                <w:highlight w:val="none"/>
              </w:rPr>
            </w:pPr>
          </w:p>
        </w:tc>
        <w:tc>
          <w:tcPr>
            <w:tcW w:w="2723" w:type="dxa"/>
            <w:tcBorders>
              <w:top w:val="nil"/>
              <w:left w:val="nil"/>
              <w:bottom w:val="nil"/>
              <w:right w:val="nil"/>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    负责人：</w:t>
            </w:r>
          </w:p>
        </w:tc>
        <w:tc>
          <w:tcPr>
            <w:tcW w:w="2035" w:type="dxa"/>
            <w:tcBorders>
              <w:top w:val="nil"/>
              <w:left w:val="nil"/>
              <w:bottom w:val="nil"/>
              <w:right w:val="single" w:color="auto" w:sz="4" w:space="0"/>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r>
      <w:tr>
        <w:trPr>
          <w:trHeight w:val="300" w:hRule="atLeast"/>
          <w:jc w:val="center"/>
        </w:trPr>
        <w:tc>
          <w:tcPr>
            <w:tcW w:w="2278" w:type="dxa"/>
            <w:tcBorders>
              <w:top w:val="nil"/>
              <w:left w:val="single" w:color="auto" w:sz="4" w:space="0"/>
              <w:bottom w:val="single" w:color="auto" w:sz="4" w:space="0"/>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2054" w:type="dxa"/>
            <w:tcBorders>
              <w:top w:val="nil"/>
              <w:left w:val="nil"/>
              <w:bottom w:val="single" w:color="auto" w:sz="4" w:space="0"/>
              <w:right w:val="nil"/>
            </w:tcBorders>
            <w:noWrap/>
            <w:vAlign w:val="center"/>
          </w:tcPr>
          <w:p>
            <w:pPr>
              <w:widowControl/>
              <w:spacing w:line="520" w:lineRule="exact"/>
              <w:ind w:left="-105" w:leftChars="-50" w:right="-210" w:rightChars="-1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w:t>
            </w:r>
          </w:p>
        </w:tc>
        <w:tc>
          <w:tcPr>
            <w:tcW w:w="4758" w:type="dxa"/>
            <w:gridSpan w:val="2"/>
            <w:tcBorders>
              <w:top w:val="nil"/>
              <w:left w:val="nil"/>
              <w:bottom w:val="single" w:color="auto" w:sz="4" w:space="0"/>
              <w:right w:val="single" w:color="000000" w:sz="4" w:space="0"/>
            </w:tcBorders>
            <w:noWrap/>
            <w:vAlign w:val="center"/>
          </w:tcPr>
          <w:p>
            <w:pPr>
              <w:widowControl/>
              <w:spacing w:line="520" w:lineRule="exact"/>
              <w:ind w:left="-105" w:leftChars="-50" w:right="-210" w:rightChars="-10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日期：    年     月     日</w:t>
            </w:r>
          </w:p>
        </w:tc>
      </w:tr>
    </w:tbl>
    <w:p>
      <w:pPr>
        <w:keepNext w:val="0"/>
        <w:keepLines w:val="0"/>
        <w:pageBreakBefore w:val="0"/>
        <w:widowControl w:val="0"/>
        <w:numPr>
          <w:ilvl w:val="0"/>
          <w:numId w:val="0"/>
        </w:numPr>
        <w:kinsoku/>
        <w:wordWrap/>
        <w:overflowPunct/>
        <w:topLinePunct w:val="0"/>
        <w:autoSpaceDE/>
        <w:autoSpaceDN/>
        <w:bidi w:val="0"/>
        <w:snapToGrid/>
        <w:spacing w:line="560" w:lineRule="exact"/>
        <w:textAlignment w:val="auto"/>
        <w:sectPr>
          <w:headerReference r:id="rId3" w:type="default"/>
          <w:footerReference r:id="rId4" w:type="default"/>
          <w:footerReference r:id="rId5" w:type="even"/>
          <w:pgSz w:w="11906" w:h="16838"/>
          <w:pgMar w:top="1701" w:right="1418" w:bottom="1417" w:left="1418" w:header="851" w:footer="1020" w:gutter="0"/>
          <w:paperSrc/>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mc:AlternateContent>
      <mc:Choice Requires="wpsCustomData">
        <wpsCustomData:docfieldEnd id="1"/>
      </mc:Choice>
    </mc:Alternate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r>
              <w:rPr>
                <w:rFonts w:hint="eastAsia" w:ascii="仿宋_GB2312" w:hAnsi="仿宋_GB2312" w:eastAsia="仿宋_GB2312" w:cs="仿宋_GB2312"/>
                <w:sz w:val="28"/>
                <w:szCs w:val="28"/>
                <w:vertAlign w:val="baseline"/>
                <w:lang w:val="en-US" w:eastAsia="zh-CN"/>
              </w:rPr>
              <w:t>9</w:t>
            </w:r>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footerReference r:id="rId6" w:type="default"/>
      <w:pgSz w:w="11906" w:h="16838"/>
      <w:pgMar w:top="1701" w:right="1418" w:bottom="1417" w:left="1418" w:header="851" w:footer="1020"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51CDE"/>
    <w:rsid w:val="23268EFB"/>
    <w:rsid w:val="2FDF45DD"/>
    <w:rsid w:val="38B92362"/>
    <w:rsid w:val="4FAFA442"/>
    <w:rsid w:val="5B2FDCEE"/>
    <w:rsid w:val="5BB98A26"/>
    <w:rsid w:val="5F0E51FA"/>
    <w:rsid w:val="5FFC2AEC"/>
    <w:rsid w:val="6F946E60"/>
    <w:rsid w:val="78AC680D"/>
    <w:rsid w:val="7D2F853E"/>
    <w:rsid w:val="7DFD7E8F"/>
    <w:rsid w:val="7F7E648A"/>
    <w:rsid w:val="8FF666FC"/>
    <w:rsid w:val="B7F3DB86"/>
    <w:rsid w:val="DB3B07DA"/>
    <w:rsid w:val="DEFFC905"/>
    <w:rsid w:val="DFBDE6FD"/>
    <w:rsid w:val="DFFD1D6B"/>
    <w:rsid w:val="E9FD94FA"/>
    <w:rsid w:val="F73718C4"/>
    <w:rsid w:val="F73D940C"/>
    <w:rsid w:val="F7F51CDE"/>
    <w:rsid w:val="FBFFFC12"/>
    <w:rsid w:val="FD9F9B18"/>
    <w:rsid w:val="FF8B771E"/>
    <w:rsid w:val="FFF790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iPriority w:val="0"/>
    <w:rPr>
      <w:rFonts w:ascii="Times New Roman" w:hAnsi="Times New Roman"/>
      <w:b/>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4123</Words>
  <Characters>4202</Characters>
  <Lines>0</Lines>
  <Paragraphs>0</Paragraphs>
  <TotalTime>3.33333333333333</TotalTime>
  <ScaleCrop>false</ScaleCrop>
  <LinksUpToDate>false</LinksUpToDate>
  <CharactersWithSpaces>4481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2022-01-27T10:30:00Z</dcterms:created>
  <dc:creator>管理员</dc:creator>
  <cp:lastModifiedBy>gxxc</cp:lastModifiedBy>
  <dcterms:modified xsi:type="dcterms:W3CDTF">2022-11-25T10:40:31Z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1.2.156.10.91110108753321386X-3-2022-0Z-00033-5</vt:lpwstr>
  </property>
  <property fmtid="{D5CDD505-2E9C-101B-9397-08002B2CF9AE}" pid="4" name="文种">
    <vt:lpwstr/>
  </property>
</Properties>
</file>