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47EC9">
      <w:pPr>
        <w:spacing w:line="560" w:lineRule="exact"/>
        <w:jc w:val="left"/>
        <w:rPr>
          <w:rFonts w:hint="eastAsia" w:ascii="黑体" w:hAnsi="黑体" w:eastAsia="黑体"/>
          <w:lang w:val="en-US"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3</w:t>
      </w:r>
    </w:p>
    <w:p w14:paraId="4A08CB9B">
      <w:pPr>
        <w:spacing w:line="560" w:lineRule="exact"/>
        <w:rPr>
          <w:rFonts w:hint="eastAsia"/>
        </w:rPr>
      </w:pPr>
    </w:p>
    <w:p w14:paraId="3EE9821E"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截至202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/>
          <w:sz w:val="44"/>
          <w:szCs w:val="44"/>
        </w:rPr>
        <w:t>年末发行的新增地方政府一般债券</w:t>
      </w:r>
    </w:p>
    <w:p w14:paraId="725D33BE"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资金收支情况表</w:t>
      </w:r>
      <w:bookmarkStart w:id="1" w:name="_GoBack"/>
      <w:bookmarkEnd w:id="1"/>
    </w:p>
    <w:p w14:paraId="6DCB5BC8">
      <w:pPr>
        <w:widowControl/>
        <w:jc w:val="left"/>
        <w:rPr>
          <w:rFonts w:hint="eastAsia"/>
          <w:sz w:val="20"/>
          <w:szCs w:val="20"/>
        </w:rPr>
      </w:pPr>
    </w:p>
    <w:p w14:paraId="3087CEC2">
      <w:pPr>
        <w:widowControl/>
        <w:jc w:val="right"/>
        <w:rPr>
          <w:rFonts w:hint="eastAsia" w:eastAsia="仿宋_GB2312"/>
          <w:sz w:val="20"/>
          <w:szCs w:val="20"/>
          <w:lang w:val="en-US" w:eastAsia="zh-CN"/>
        </w:rPr>
      </w:pPr>
      <w:r>
        <w:rPr>
          <w:rFonts w:hint="eastAsia"/>
        </w:rPr>
        <w:t>单位：</w:t>
      </w:r>
      <w:r>
        <w:rPr>
          <w:rFonts w:hint="eastAsia"/>
          <w:lang w:val="en-US" w:eastAsia="zh-CN"/>
        </w:rPr>
        <w:t>亿元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2460"/>
        <w:gridCol w:w="973"/>
        <w:gridCol w:w="3076"/>
        <w:gridCol w:w="1996"/>
      </w:tblGrid>
      <w:tr w14:paraId="1DF44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611" w:type="dxa"/>
            <w:vMerge w:val="restart"/>
            <w:noWrap w:val="0"/>
            <w:vAlign w:val="top"/>
          </w:tcPr>
          <w:p w14:paraId="5CC34DB9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序号</w:t>
            </w:r>
          </w:p>
        </w:tc>
        <w:tc>
          <w:tcPr>
            <w:tcW w:w="3433" w:type="dxa"/>
            <w:gridSpan w:val="2"/>
            <w:noWrap w:val="0"/>
            <w:vAlign w:val="top"/>
          </w:tcPr>
          <w:p w14:paraId="180FD799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截至202</w:t>
            </w:r>
            <w:r>
              <w:rPr>
                <w:rFonts w:hint="eastAsia" w:hAnsi="黑体" w:cs="Times New Roman"/>
                <w:sz w:val="22"/>
                <w:szCs w:val="44"/>
                <w:lang w:val="en-US" w:eastAsia="zh-CN"/>
              </w:rPr>
              <w:t>5</w:t>
            </w:r>
            <w:r>
              <w:rPr>
                <w:rFonts w:hint="eastAsia" w:hAnsi="黑体" w:cs="Times New Roman"/>
                <w:sz w:val="22"/>
                <w:szCs w:val="44"/>
              </w:rPr>
              <w:t>年末新增一般债券资金收入</w:t>
            </w:r>
          </w:p>
        </w:tc>
        <w:tc>
          <w:tcPr>
            <w:tcW w:w="5072" w:type="dxa"/>
            <w:gridSpan w:val="2"/>
            <w:noWrap w:val="0"/>
            <w:vAlign w:val="top"/>
          </w:tcPr>
          <w:p w14:paraId="1A3E0F6B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截至202</w:t>
            </w:r>
            <w:r>
              <w:rPr>
                <w:rFonts w:hint="eastAsia" w:hAnsi="黑体" w:cs="Times New Roman"/>
                <w:sz w:val="22"/>
                <w:szCs w:val="44"/>
                <w:lang w:val="en-US" w:eastAsia="zh-CN"/>
              </w:rPr>
              <w:t>5</w:t>
            </w:r>
            <w:r>
              <w:rPr>
                <w:rFonts w:hint="eastAsia" w:hAnsi="黑体" w:cs="Times New Roman"/>
                <w:sz w:val="22"/>
                <w:szCs w:val="44"/>
              </w:rPr>
              <w:t>年末新增一般债券资金安排的支出</w:t>
            </w:r>
          </w:p>
        </w:tc>
      </w:tr>
      <w:tr w14:paraId="7E602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 w14:paraId="4C86EEAF">
            <w:pPr>
              <w:rPr>
                <w:rFonts w:hAnsi="黑体" w:cs="Times New Roman"/>
                <w:sz w:val="22"/>
                <w:szCs w:val="44"/>
              </w:rPr>
            </w:pPr>
          </w:p>
        </w:tc>
        <w:tc>
          <w:tcPr>
            <w:tcW w:w="2460" w:type="dxa"/>
            <w:noWrap/>
            <w:vAlign w:val="top"/>
          </w:tcPr>
          <w:p w14:paraId="0D4DE36E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债券名称</w:t>
            </w:r>
          </w:p>
        </w:tc>
        <w:tc>
          <w:tcPr>
            <w:tcW w:w="973" w:type="dxa"/>
            <w:noWrap/>
            <w:vAlign w:val="top"/>
          </w:tcPr>
          <w:p w14:paraId="0E32D35E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金额</w:t>
            </w:r>
          </w:p>
        </w:tc>
        <w:tc>
          <w:tcPr>
            <w:tcW w:w="3076" w:type="dxa"/>
            <w:noWrap/>
            <w:vAlign w:val="top"/>
          </w:tcPr>
          <w:p w14:paraId="27A95C4A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支出功能分类</w:t>
            </w:r>
          </w:p>
        </w:tc>
        <w:tc>
          <w:tcPr>
            <w:tcW w:w="1996" w:type="dxa"/>
            <w:noWrap/>
            <w:vAlign w:val="top"/>
          </w:tcPr>
          <w:p w14:paraId="2A6D927C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金额</w:t>
            </w:r>
          </w:p>
        </w:tc>
      </w:tr>
      <w:tr w14:paraId="43AE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611" w:type="dxa"/>
            <w:noWrap/>
            <w:vAlign w:val="top"/>
          </w:tcPr>
          <w:p w14:paraId="652B630A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合计</w:t>
            </w:r>
          </w:p>
        </w:tc>
        <w:tc>
          <w:tcPr>
            <w:tcW w:w="2460" w:type="dxa"/>
            <w:noWrap/>
            <w:vAlign w:val="top"/>
          </w:tcPr>
          <w:p w14:paraId="2E325424">
            <w:pPr>
              <w:jc w:val="left"/>
              <w:rPr>
                <w:rFonts w:hAnsi="黑体" w:cs="Times New Roman"/>
                <w:sz w:val="22"/>
                <w:szCs w:val="44"/>
              </w:rPr>
            </w:pPr>
          </w:p>
        </w:tc>
        <w:tc>
          <w:tcPr>
            <w:tcW w:w="973" w:type="dxa"/>
            <w:noWrap/>
            <w:vAlign w:val="center"/>
          </w:tcPr>
          <w:p w14:paraId="51D6530E">
            <w:pPr>
              <w:numPr>
                <w:ilvl w:val="0"/>
                <w:numId w:val="1"/>
              </w:numPr>
              <w:jc w:val="center"/>
              <w:rPr>
                <w:rFonts w:hint="default" w:hAnsi="黑体" w:eastAsia="仿宋_GB2312" w:cs="Times New Roman"/>
                <w:sz w:val="22"/>
                <w:szCs w:val="44"/>
                <w:lang w:val="en-US" w:eastAsia="zh-CN"/>
              </w:rPr>
            </w:pPr>
            <w:r>
              <w:rPr>
                <w:rFonts w:hint="eastAsia" w:hAnsi="黑体" w:cs="Times New Roman"/>
                <w:sz w:val="22"/>
                <w:szCs w:val="44"/>
                <w:lang w:val="en-US" w:eastAsia="zh-CN"/>
              </w:rPr>
              <w:t>082771</w:t>
            </w:r>
          </w:p>
        </w:tc>
        <w:tc>
          <w:tcPr>
            <w:tcW w:w="3076" w:type="dxa"/>
            <w:noWrap/>
            <w:vAlign w:val="top"/>
          </w:tcPr>
          <w:p w14:paraId="7FDF2B3F">
            <w:pPr>
              <w:rPr>
                <w:rFonts w:hAnsi="黑体" w:cs="Times New Roman"/>
                <w:sz w:val="22"/>
                <w:szCs w:val="44"/>
              </w:rPr>
            </w:pPr>
          </w:p>
        </w:tc>
        <w:tc>
          <w:tcPr>
            <w:tcW w:w="1996" w:type="dxa"/>
            <w:noWrap/>
            <w:vAlign w:val="top"/>
          </w:tcPr>
          <w:p w14:paraId="4944FA68">
            <w:pPr>
              <w:rPr>
                <w:rFonts w:hint="default" w:hAnsi="黑体" w:eastAsia="仿宋_GB2312" w:cs="Times New Roman"/>
                <w:sz w:val="22"/>
                <w:szCs w:val="44"/>
                <w:lang w:val="en-US" w:eastAsia="zh-CN"/>
              </w:rPr>
            </w:pPr>
            <w:r>
              <w:rPr>
                <w:rFonts w:hint="eastAsia" w:hAnsi="黑体" w:cs="Times New Roman"/>
                <w:sz w:val="22"/>
                <w:szCs w:val="44"/>
                <w:lang w:val="en-US" w:eastAsia="zh-CN"/>
              </w:rPr>
              <w:t>0.082771</w:t>
            </w:r>
          </w:p>
        </w:tc>
      </w:tr>
      <w:tr w14:paraId="7188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611" w:type="dxa"/>
            <w:noWrap/>
            <w:vAlign w:val="top"/>
          </w:tcPr>
          <w:p w14:paraId="7BF017C5">
            <w:pPr>
              <w:rPr>
                <w:rFonts w:hAnsi="黑体" w:cs="Times New Roman"/>
                <w:sz w:val="22"/>
                <w:szCs w:val="44"/>
                <w:highlight w:val="none"/>
              </w:rPr>
            </w:pPr>
            <w:r>
              <w:rPr>
                <w:rFonts w:hint="eastAsia" w:hAnsi="黑体" w:cs="Times New Roman"/>
                <w:sz w:val="22"/>
                <w:szCs w:val="44"/>
                <w:highlight w:val="none"/>
              </w:rPr>
              <w:t>1</w:t>
            </w:r>
          </w:p>
        </w:tc>
        <w:tc>
          <w:tcPr>
            <w:tcW w:w="2460" w:type="dxa"/>
            <w:shd w:val="clear" w:color="auto" w:fill="auto"/>
            <w:noWrap w:val="0"/>
            <w:vAlign w:val="top"/>
          </w:tcPr>
          <w:p w14:paraId="50577D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南亚所570亩种质资源铺围墙建设项目</w:t>
            </w:r>
          </w:p>
          <w:p w14:paraId="0E35A71E">
            <w:pPr>
              <w:jc w:val="left"/>
              <w:rPr>
                <w:rFonts w:ascii="仿宋_GB2312" w:hAnsi="黑体" w:eastAsia="仿宋_GB2312" w:cs="Times New Roman"/>
                <w:kern w:val="2"/>
                <w:sz w:val="22"/>
                <w:szCs w:val="44"/>
                <w:lang w:val="en-US" w:eastAsia="zh-CN" w:bidi="ar-SA"/>
              </w:rPr>
            </w:pPr>
          </w:p>
        </w:tc>
        <w:tc>
          <w:tcPr>
            <w:tcW w:w="973" w:type="dxa"/>
            <w:shd w:val="clear" w:color="auto" w:fill="auto"/>
            <w:noWrap w:val="0"/>
            <w:vAlign w:val="center"/>
          </w:tcPr>
          <w:p w14:paraId="5BF875EB">
            <w:pPr>
              <w:jc w:val="center"/>
              <w:rPr>
                <w:rFonts w:hint="default" w:ascii="仿宋_GB2312" w:hAnsi="黑体" w:eastAsia="仿宋_GB2312" w:cs="Times New Roman"/>
                <w:kern w:val="2"/>
                <w:sz w:val="22"/>
                <w:szCs w:val="44"/>
                <w:lang w:val="en-US" w:eastAsia="zh-CN" w:bidi="ar-SA"/>
              </w:rPr>
            </w:pPr>
            <w:r>
              <w:rPr>
                <w:rFonts w:hint="eastAsia" w:hAnsi="黑体" w:cs="Times New Roman"/>
                <w:sz w:val="22"/>
                <w:szCs w:val="44"/>
                <w:lang w:val="en-US" w:eastAsia="zh-CN"/>
              </w:rPr>
              <w:t>0.082771</w:t>
            </w:r>
          </w:p>
        </w:tc>
        <w:tc>
          <w:tcPr>
            <w:tcW w:w="3076" w:type="dxa"/>
            <w:noWrap/>
            <w:vAlign w:val="top"/>
          </w:tcPr>
          <w:p w14:paraId="4443022B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201一般公共服务支出</w:t>
            </w:r>
          </w:p>
        </w:tc>
        <w:tc>
          <w:tcPr>
            <w:tcW w:w="1996" w:type="dxa"/>
            <w:noWrap w:val="0"/>
            <w:vAlign w:val="top"/>
          </w:tcPr>
          <w:p w14:paraId="77946B65">
            <w:pPr>
              <w:rPr>
                <w:rFonts w:hint="default" w:hAnsi="黑体" w:eastAsia="仿宋_GB2312" w:cs="Times New Roman"/>
                <w:sz w:val="22"/>
                <w:szCs w:val="44"/>
                <w:lang w:val="en-US" w:eastAsia="zh-CN"/>
              </w:rPr>
            </w:pPr>
          </w:p>
        </w:tc>
      </w:tr>
      <w:tr w14:paraId="1AA66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611" w:type="dxa"/>
            <w:noWrap/>
            <w:vAlign w:val="top"/>
          </w:tcPr>
          <w:p w14:paraId="5489F122">
            <w:pPr>
              <w:rPr>
                <w:rFonts w:hAnsi="黑体" w:cs="Times New Roman"/>
                <w:sz w:val="22"/>
                <w:szCs w:val="44"/>
                <w:highlight w:val="none"/>
              </w:rPr>
            </w:pPr>
            <w:r>
              <w:rPr>
                <w:rFonts w:hint="eastAsia" w:hAnsi="黑体" w:cs="Times New Roman"/>
                <w:sz w:val="22"/>
                <w:szCs w:val="44"/>
                <w:highlight w:val="none"/>
              </w:rPr>
              <w:t>2</w:t>
            </w:r>
          </w:p>
        </w:tc>
        <w:tc>
          <w:tcPr>
            <w:tcW w:w="2460" w:type="dxa"/>
            <w:noWrap w:val="0"/>
            <w:vAlign w:val="top"/>
          </w:tcPr>
          <w:p w14:paraId="58DA6C82">
            <w:pPr>
              <w:rPr>
                <w:rFonts w:hint="eastAsia" w:ascii="仿宋_GB2312" w:hAnsi="黑体" w:eastAsia="仿宋_GB2312" w:cs="Times New Roman"/>
                <w:kern w:val="2"/>
                <w:sz w:val="22"/>
                <w:szCs w:val="44"/>
                <w:lang w:val="en-US" w:eastAsia="zh-CN" w:bidi="ar-SA"/>
              </w:rPr>
            </w:pPr>
          </w:p>
        </w:tc>
        <w:tc>
          <w:tcPr>
            <w:tcW w:w="973" w:type="dxa"/>
            <w:noWrap w:val="0"/>
            <w:vAlign w:val="top"/>
          </w:tcPr>
          <w:p w14:paraId="74A5AD6F">
            <w:pPr>
              <w:rPr>
                <w:rFonts w:hint="default" w:ascii="仿宋_GB2312" w:hAnsi="黑体" w:eastAsia="仿宋_GB2312" w:cs="Times New Roman"/>
                <w:kern w:val="2"/>
                <w:sz w:val="22"/>
                <w:szCs w:val="44"/>
                <w:lang w:val="en-US" w:eastAsia="zh-CN" w:bidi="ar-SA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7C3C98F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202外交支出</w:t>
            </w:r>
          </w:p>
        </w:tc>
        <w:tc>
          <w:tcPr>
            <w:tcW w:w="1996" w:type="dxa"/>
            <w:noWrap/>
            <w:vAlign w:val="top"/>
          </w:tcPr>
          <w:p w14:paraId="31CAD23F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5E64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611" w:type="dxa"/>
            <w:noWrap/>
            <w:vAlign w:val="top"/>
          </w:tcPr>
          <w:p w14:paraId="5C05E340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3</w:t>
            </w:r>
          </w:p>
        </w:tc>
        <w:tc>
          <w:tcPr>
            <w:tcW w:w="2460" w:type="dxa"/>
            <w:noWrap w:val="0"/>
            <w:vAlign w:val="top"/>
          </w:tcPr>
          <w:p w14:paraId="7D7F45BA">
            <w:pPr>
              <w:rPr>
                <w:rFonts w:hint="eastAsia" w:hAnsi="黑体" w:eastAsia="仿宋_GB2312" w:cs="Times New Roman"/>
                <w:sz w:val="22"/>
                <w:szCs w:val="44"/>
                <w:lang w:eastAsia="zh-CN"/>
              </w:rPr>
            </w:pPr>
          </w:p>
        </w:tc>
        <w:tc>
          <w:tcPr>
            <w:tcW w:w="973" w:type="dxa"/>
            <w:noWrap w:val="0"/>
            <w:vAlign w:val="top"/>
          </w:tcPr>
          <w:p w14:paraId="55F057C1">
            <w:pPr>
              <w:rPr>
                <w:rFonts w:hint="default" w:hAnsi="黑体" w:eastAsia="仿宋_GB2312" w:cs="Times New Roman"/>
                <w:sz w:val="22"/>
                <w:szCs w:val="44"/>
                <w:lang w:val="en-US" w:eastAsia="zh-CN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4A2DFAB7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203国防支出</w:t>
            </w:r>
          </w:p>
        </w:tc>
        <w:tc>
          <w:tcPr>
            <w:tcW w:w="1996" w:type="dxa"/>
            <w:noWrap/>
            <w:vAlign w:val="top"/>
          </w:tcPr>
          <w:p w14:paraId="63EDBAC8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1001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611" w:type="dxa"/>
            <w:noWrap/>
            <w:vAlign w:val="top"/>
          </w:tcPr>
          <w:p w14:paraId="3C4473E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4</w:t>
            </w:r>
          </w:p>
        </w:tc>
        <w:tc>
          <w:tcPr>
            <w:tcW w:w="2460" w:type="dxa"/>
            <w:noWrap w:val="0"/>
            <w:vAlign w:val="top"/>
          </w:tcPr>
          <w:p w14:paraId="4138552D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09FB1A5E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16AB74B6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204公共安全支出</w:t>
            </w:r>
          </w:p>
        </w:tc>
        <w:tc>
          <w:tcPr>
            <w:tcW w:w="1996" w:type="dxa"/>
            <w:noWrap/>
            <w:vAlign w:val="top"/>
          </w:tcPr>
          <w:p w14:paraId="6EB1B18B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29B9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611" w:type="dxa"/>
            <w:noWrap/>
            <w:vAlign w:val="top"/>
          </w:tcPr>
          <w:p w14:paraId="4EAAD66D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5</w:t>
            </w:r>
          </w:p>
        </w:tc>
        <w:tc>
          <w:tcPr>
            <w:tcW w:w="2460" w:type="dxa"/>
            <w:noWrap w:val="0"/>
            <w:vAlign w:val="top"/>
          </w:tcPr>
          <w:p w14:paraId="1BF70B3E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05C046D0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4E5598CB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205教育支出</w:t>
            </w:r>
          </w:p>
        </w:tc>
        <w:tc>
          <w:tcPr>
            <w:tcW w:w="1996" w:type="dxa"/>
            <w:noWrap/>
            <w:vAlign w:val="top"/>
          </w:tcPr>
          <w:p w14:paraId="6F1080F2">
            <w:pPr>
              <w:rPr>
                <w:rFonts w:hint="default" w:hAnsi="黑体" w:eastAsia="仿宋_GB2312" w:cs="Times New Roman"/>
                <w:sz w:val="22"/>
                <w:szCs w:val="44"/>
                <w:lang w:val="en-US" w:eastAsia="zh-CN"/>
              </w:rPr>
            </w:pPr>
          </w:p>
        </w:tc>
      </w:tr>
      <w:tr w14:paraId="2C63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noWrap/>
            <w:vAlign w:val="top"/>
          </w:tcPr>
          <w:p w14:paraId="3615B9B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…</w:t>
            </w:r>
          </w:p>
        </w:tc>
        <w:tc>
          <w:tcPr>
            <w:tcW w:w="2460" w:type="dxa"/>
            <w:noWrap w:val="0"/>
            <w:vAlign w:val="top"/>
          </w:tcPr>
          <w:p w14:paraId="31277C16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52B7BB58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2B3FAC7F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206科学技术支出</w:t>
            </w:r>
          </w:p>
        </w:tc>
        <w:tc>
          <w:tcPr>
            <w:tcW w:w="1996" w:type="dxa"/>
            <w:noWrap/>
            <w:vAlign w:val="top"/>
          </w:tcPr>
          <w:p w14:paraId="722D8349">
            <w:pPr>
              <w:rPr>
                <w:rFonts w:hint="default" w:hAnsi="黑体" w:eastAsia="仿宋_GB2312" w:cs="Times New Roman"/>
                <w:sz w:val="22"/>
                <w:szCs w:val="44"/>
                <w:lang w:val="en-US" w:eastAsia="zh-CN"/>
              </w:rPr>
            </w:pPr>
            <w:r>
              <w:rPr>
                <w:rFonts w:hint="eastAsia" w:hAnsi="黑体" w:cs="Times New Roman"/>
                <w:sz w:val="22"/>
                <w:szCs w:val="44"/>
                <w:lang w:val="en-US" w:eastAsia="zh-CN"/>
              </w:rPr>
              <w:t>0.082771</w:t>
            </w:r>
          </w:p>
        </w:tc>
      </w:tr>
      <w:tr w14:paraId="79B5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611" w:type="dxa"/>
            <w:noWrap/>
            <w:vAlign w:val="top"/>
          </w:tcPr>
          <w:p w14:paraId="41D8DD99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594B5588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7E66C9AF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044AF7F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207文化旅游体育与传媒支出</w:t>
            </w:r>
          </w:p>
        </w:tc>
        <w:tc>
          <w:tcPr>
            <w:tcW w:w="1996" w:type="dxa"/>
            <w:noWrap/>
            <w:vAlign w:val="top"/>
          </w:tcPr>
          <w:p w14:paraId="14E8481D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74E0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611" w:type="dxa"/>
            <w:noWrap/>
            <w:vAlign w:val="top"/>
          </w:tcPr>
          <w:p w14:paraId="77AFDDE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59B5E857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2CC21F0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5701999A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208社会保障和就业支出</w:t>
            </w:r>
          </w:p>
        </w:tc>
        <w:tc>
          <w:tcPr>
            <w:tcW w:w="1996" w:type="dxa"/>
            <w:noWrap/>
            <w:vAlign w:val="top"/>
          </w:tcPr>
          <w:p w14:paraId="3055A930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2809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611" w:type="dxa"/>
            <w:noWrap/>
            <w:vAlign w:val="top"/>
          </w:tcPr>
          <w:p w14:paraId="745F93E6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4DB18000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2AF96F97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21983C38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210卫生健康支出</w:t>
            </w:r>
          </w:p>
        </w:tc>
        <w:tc>
          <w:tcPr>
            <w:tcW w:w="1996" w:type="dxa"/>
            <w:noWrap/>
            <w:vAlign w:val="top"/>
          </w:tcPr>
          <w:p w14:paraId="5168A782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470F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611" w:type="dxa"/>
            <w:noWrap/>
            <w:vAlign w:val="top"/>
          </w:tcPr>
          <w:p w14:paraId="582772C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04399360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02DB2ADA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6FC95831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211节能环保支出</w:t>
            </w:r>
          </w:p>
        </w:tc>
        <w:tc>
          <w:tcPr>
            <w:tcW w:w="1996" w:type="dxa"/>
            <w:noWrap/>
            <w:vAlign w:val="top"/>
          </w:tcPr>
          <w:p w14:paraId="4F2E61EF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0D31E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611" w:type="dxa"/>
            <w:noWrap/>
            <w:vAlign w:val="top"/>
          </w:tcPr>
          <w:p w14:paraId="4811488E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7D56C96A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6B1DEDF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7360DD38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212城乡社区支出</w:t>
            </w:r>
          </w:p>
        </w:tc>
        <w:tc>
          <w:tcPr>
            <w:tcW w:w="1996" w:type="dxa"/>
            <w:noWrap/>
            <w:vAlign w:val="top"/>
          </w:tcPr>
          <w:p w14:paraId="714C6D6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2A8B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noWrap/>
            <w:vAlign w:val="top"/>
          </w:tcPr>
          <w:p w14:paraId="61448DF0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2F22111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70D2F092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04361EBD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213农林水支出</w:t>
            </w:r>
          </w:p>
        </w:tc>
        <w:tc>
          <w:tcPr>
            <w:tcW w:w="1996" w:type="dxa"/>
            <w:noWrap/>
            <w:vAlign w:val="top"/>
          </w:tcPr>
          <w:p w14:paraId="478271D8">
            <w:pPr>
              <w:rPr>
                <w:rFonts w:hint="default" w:hAnsi="黑体" w:eastAsia="仿宋_GB2312" w:cs="Times New Roman"/>
                <w:sz w:val="22"/>
                <w:szCs w:val="44"/>
                <w:lang w:val="en-US" w:eastAsia="zh-CN"/>
              </w:rPr>
            </w:pPr>
          </w:p>
        </w:tc>
      </w:tr>
      <w:tr w14:paraId="469CE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noWrap/>
            <w:vAlign w:val="top"/>
          </w:tcPr>
          <w:p w14:paraId="1DBF66B9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7890149B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24F36552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481B6C6F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214交通运输支出</w:t>
            </w:r>
          </w:p>
        </w:tc>
        <w:tc>
          <w:tcPr>
            <w:tcW w:w="1996" w:type="dxa"/>
            <w:noWrap/>
            <w:vAlign w:val="top"/>
          </w:tcPr>
          <w:p w14:paraId="531A8E9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16C3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noWrap/>
            <w:vAlign w:val="top"/>
          </w:tcPr>
          <w:p w14:paraId="6F71F27C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357FD81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2931FE2C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76C916CB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215资源勘探信息等支出</w:t>
            </w:r>
          </w:p>
        </w:tc>
        <w:tc>
          <w:tcPr>
            <w:tcW w:w="1996" w:type="dxa"/>
            <w:noWrap/>
            <w:vAlign w:val="top"/>
          </w:tcPr>
          <w:p w14:paraId="6B098EDA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71175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noWrap/>
            <w:vAlign w:val="top"/>
          </w:tcPr>
          <w:p w14:paraId="34303828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237F054A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76F408FB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1E93F929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216商业服务业等支出</w:t>
            </w:r>
          </w:p>
        </w:tc>
        <w:tc>
          <w:tcPr>
            <w:tcW w:w="1996" w:type="dxa"/>
            <w:noWrap/>
            <w:vAlign w:val="top"/>
          </w:tcPr>
          <w:p w14:paraId="26281D3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2C40A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noWrap/>
            <w:vAlign w:val="top"/>
          </w:tcPr>
          <w:p w14:paraId="0EA6CD78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6978D83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534AE136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5238F26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217金融支出</w:t>
            </w:r>
          </w:p>
        </w:tc>
        <w:tc>
          <w:tcPr>
            <w:tcW w:w="1996" w:type="dxa"/>
            <w:noWrap/>
            <w:vAlign w:val="top"/>
          </w:tcPr>
          <w:p w14:paraId="792FFA5E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38DB0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noWrap/>
            <w:vAlign w:val="top"/>
          </w:tcPr>
          <w:p w14:paraId="699935F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03C0F71D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55123F1E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44FCF242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219援助其他地区支出</w:t>
            </w:r>
          </w:p>
        </w:tc>
        <w:tc>
          <w:tcPr>
            <w:tcW w:w="1996" w:type="dxa"/>
            <w:noWrap/>
            <w:vAlign w:val="top"/>
          </w:tcPr>
          <w:p w14:paraId="6A31592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3729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11" w:type="dxa"/>
            <w:noWrap/>
            <w:vAlign w:val="top"/>
          </w:tcPr>
          <w:p w14:paraId="756582BE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0419A08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35ABFA5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131709EC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220自然资源海洋气象等支出</w:t>
            </w:r>
          </w:p>
        </w:tc>
        <w:tc>
          <w:tcPr>
            <w:tcW w:w="1996" w:type="dxa"/>
            <w:noWrap/>
            <w:vAlign w:val="top"/>
          </w:tcPr>
          <w:p w14:paraId="64FD6E1B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2C25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611" w:type="dxa"/>
            <w:noWrap/>
            <w:vAlign w:val="top"/>
          </w:tcPr>
          <w:p w14:paraId="5EA4EBC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772F589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2577AC17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294E8E31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221住房保障支出</w:t>
            </w:r>
          </w:p>
        </w:tc>
        <w:tc>
          <w:tcPr>
            <w:tcW w:w="1996" w:type="dxa"/>
            <w:noWrap/>
            <w:vAlign w:val="top"/>
          </w:tcPr>
          <w:p w14:paraId="6CF2C4DC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0985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611" w:type="dxa"/>
            <w:noWrap/>
            <w:vAlign w:val="top"/>
          </w:tcPr>
          <w:p w14:paraId="57077FD3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05E8A484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4B2EEC10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0D3098C5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222粮油物资储备支出</w:t>
            </w:r>
          </w:p>
        </w:tc>
        <w:tc>
          <w:tcPr>
            <w:tcW w:w="1996" w:type="dxa"/>
            <w:noWrap/>
            <w:vAlign w:val="top"/>
          </w:tcPr>
          <w:p w14:paraId="2F7389CC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</w:tr>
      <w:tr w14:paraId="720D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611" w:type="dxa"/>
            <w:noWrap/>
            <w:vAlign w:val="top"/>
          </w:tcPr>
          <w:p w14:paraId="2ACC65B7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2460" w:type="dxa"/>
            <w:noWrap w:val="0"/>
            <w:vAlign w:val="top"/>
          </w:tcPr>
          <w:p w14:paraId="50BAA990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973" w:type="dxa"/>
            <w:noWrap w:val="0"/>
            <w:vAlign w:val="top"/>
          </w:tcPr>
          <w:p w14:paraId="3E9503F2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tc>
          <w:tcPr>
            <w:tcW w:w="3076" w:type="dxa"/>
            <w:noWrap/>
            <w:vAlign w:val="top"/>
          </w:tcPr>
          <w:p w14:paraId="4691919D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224灾害防治及应急管理支出</w:t>
            </w:r>
          </w:p>
        </w:tc>
        <w:tc>
          <w:tcPr>
            <w:tcW w:w="1996" w:type="dxa"/>
            <w:noWrap/>
            <w:vAlign w:val="top"/>
          </w:tcPr>
          <w:p w14:paraId="57604ADD">
            <w:pPr>
              <w:rPr>
                <w:rFonts w:hAnsi="黑体" w:cs="Times New Roman"/>
                <w:sz w:val="22"/>
                <w:szCs w:val="44"/>
              </w:rPr>
            </w:pPr>
            <w:r>
              <w:rPr>
                <w:rFonts w:hint="eastAsia" w:hAnsi="黑体" w:cs="Times New Roman"/>
                <w:sz w:val="22"/>
                <w:szCs w:val="44"/>
              </w:rPr>
              <w:t>　</w:t>
            </w:r>
          </w:p>
        </w:tc>
        <w:bookmarkStart w:id="0" w:name="barcode"/>
      </w:tr>
      <w:bookmarkEnd w:id="0"/>
    </w:tbl>
    <w:p w14:paraId="47C5C657">
      <w:pPr>
        <w:widowControl/>
        <w:jc w:val="left"/>
        <w:rPr>
          <w:rFonts w:hint="eastAsia"/>
        </w:rPr>
      </w:pPr>
    </w:p>
    <w:p w14:paraId="15EF98AE"/>
    <w:sectPr>
      <w:pgSz w:w="11906" w:h="16838"/>
      <w:pgMar w:top="2098" w:right="1418" w:bottom="1570" w:left="1588" w:header="851" w:footer="992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DC0C36"/>
    <w:multiLevelType w:val="singleLevel"/>
    <w:tmpl w:val="C5DC0C36"/>
    <w:lvl w:ilvl="0" w:tentative="0">
      <w:start w:val="0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733B0"/>
    <w:rsid w:val="4DE7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2026-07-09T07:59:00Z</dcterms:created>
  <dc:creator>木木</dc:creator>
  <cp:lastModifiedBy>木木</cp:lastModifiedBy>
  <dcterms:modified xsi:type="dcterms:W3CDTF">2026-07-09T08:00:33Z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A50985E2D64E4168892FE18D6626D511_11</vt:lpwstr>
  </property>
  <property fmtid="{D5CDD505-2E9C-101B-9397-08002B2CF9AE}" pid="4" name="KSOTemplateDocerSaveRecord">
    <vt:lpwstr>eyJoZGlkIjoiMjZhNzU5YzA2MGRlY2QyZmY1Njk5NjkwYTA4OGIyZTkiLCJ1c2VySWQiOiIzMDY2MzMwOTUifQ==</vt:lpwstr>
  </property>
</Properties>
</file>