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24" w:rsidRPr="001005DA" w:rsidRDefault="00362D24" w:rsidP="00142DB8">
      <w:pPr>
        <w:widowControl/>
        <w:shd w:val="clear" w:color="auto" w:fill="FFFFFF"/>
        <w:jc w:val="center"/>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国家税务总局</w:t>
      </w:r>
    </w:p>
    <w:p w:rsidR="00362D24" w:rsidRPr="001005DA" w:rsidRDefault="00362D24" w:rsidP="002568AC">
      <w:pPr>
        <w:widowControl/>
        <w:shd w:val="clear" w:color="auto" w:fill="FFFFFF"/>
        <w:jc w:val="center"/>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关于办理</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年度个人所得税综合所得汇算清缴事项的公告</w:t>
      </w:r>
    </w:p>
    <w:p w:rsidR="00362D24" w:rsidRPr="001005DA" w:rsidRDefault="00362D24" w:rsidP="002568AC">
      <w:pPr>
        <w:widowControl/>
        <w:shd w:val="clear" w:color="auto" w:fill="FFFFFF"/>
        <w:jc w:val="center"/>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国家税务总局公告</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年第</w:t>
      </w:r>
      <w:r w:rsidRPr="001005DA">
        <w:rPr>
          <w:rFonts w:ascii="微软雅黑" w:eastAsia="微软雅黑" w:hAnsi="微软雅黑" w:cs="宋体"/>
          <w:color w:val="333333"/>
          <w:kern w:val="0"/>
          <w:sz w:val="24"/>
          <w:szCs w:val="24"/>
        </w:rPr>
        <w:t>44</w:t>
      </w:r>
      <w:r w:rsidRPr="001005DA">
        <w:rPr>
          <w:rFonts w:ascii="微软雅黑" w:eastAsia="微软雅黑" w:hAnsi="微软雅黑" w:cs="宋体" w:hint="eastAsia"/>
          <w:color w:val="333333"/>
          <w:kern w:val="0"/>
          <w:sz w:val="24"/>
          <w:szCs w:val="24"/>
        </w:rPr>
        <w:t>号</w:t>
      </w:r>
    </w:p>
    <w:p w:rsidR="00362D24" w:rsidRPr="001005DA" w:rsidRDefault="00362D24" w:rsidP="00142DB8">
      <w:pPr>
        <w:widowControl/>
        <w:shd w:val="clear" w:color="auto" w:fill="FFFFFF"/>
        <w:jc w:val="left"/>
        <w:rPr>
          <w:rFonts w:ascii="微软雅黑" w:eastAsia="微软雅黑" w:hAnsi="微软雅黑" w:cs="宋体"/>
          <w:color w:val="333333"/>
          <w:kern w:val="0"/>
          <w:sz w:val="24"/>
          <w:szCs w:val="24"/>
        </w:rPr>
      </w:pPr>
      <w:hyperlink r:id="rId6" w:tooltip="分享到微信" w:history="1">
        <w:r w:rsidRPr="001005DA">
          <w:rPr>
            <w:rFonts w:ascii="微软雅黑" w:eastAsia="微软雅黑" w:hAnsi="微软雅黑" w:cs="宋体"/>
            <w:color w:val="333333"/>
            <w:kern w:val="0"/>
            <w:sz w:val="24"/>
            <w:szCs w:val="24"/>
          </w:rPr>
          <w:t> </w:t>
        </w:r>
      </w:hyperlink>
      <w:r w:rsidRPr="001005DA">
        <w:rPr>
          <w:rFonts w:ascii="微软雅黑" w:eastAsia="微软雅黑" w:hAnsi="微软雅黑" w:cs="宋体"/>
          <w:color w:val="333333"/>
          <w:kern w:val="0"/>
          <w:sz w:val="24"/>
          <w:szCs w:val="24"/>
        </w:rPr>
        <w:t xml:space="preserve"> </w:t>
      </w:r>
      <w:hyperlink r:id="rId7" w:tooltip="分享到新浪微博" w:history="1">
        <w:r w:rsidRPr="001005DA">
          <w:rPr>
            <w:rFonts w:ascii="微软雅黑" w:eastAsia="微软雅黑" w:hAnsi="微软雅黑" w:cs="宋体"/>
            <w:color w:val="333333"/>
            <w:kern w:val="0"/>
            <w:sz w:val="24"/>
            <w:szCs w:val="24"/>
          </w:rPr>
          <w:t> </w:t>
        </w:r>
      </w:hyperlink>
      <w:r w:rsidRPr="001005DA">
        <w:rPr>
          <w:rFonts w:ascii="微软雅黑" w:eastAsia="微软雅黑" w:hAnsi="微软雅黑" w:cs="宋体"/>
          <w:color w:val="333333"/>
          <w:kern w:val="0"/>
          <w:sz w:val="24"/>
          <w:szCs w:val="24"/>
        </w:rPr>
        <w:t xml:space="preserve"> </w:t>
      </w:r>
      <w:hyperlink r:id="rId8" w:tooltip="分享到QQ空间" w:history="1">
        <w:r w:rsidRPr="001005DA">
          <w:rPr>
            <w:rFonts w:ascii="微软雅黑" w:eastAsia="微软雅黑" w:hAnsi="微软雅黑" w:cs="宋体"/>
            <w:color w:val="333333"/>
            <w:kern w:val="0"/>
            <w:sz w:val="24"/>
            <w:szCs w:val="24"/>
          </w:rPr>
          <w:t> </w:t>
        </w:r>
      </w:hyperlink>
      <w:r w:rsidRPr="001005DA">
        <w:rPr>
          <w:rFonts w:ascii="微软雅黑" w:eastAsia="微软雅黑" w:hAnsi="微软雅黑" w:cs="宋体"/>
          <w:color w:val="333333"/>
          <w:kern w:val="0"/>
          <w:sz w:val="24"/>
          <w:szCs w:val="24"/>
        </w:rPr>
        <w:t xml:space="preserve"> </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为切实维护纳税人合法权益，进一步落实好专项附加扣除政策，合理有序建立个人所得税综合所得汇算清缴制度，根据个人所得税法及其实施条例（以下简称“税法”）和税收征收管理法及其实施细则有关规定，现就办理</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年度个人所得税综合所得汇算清缴（以下简称“年度汇算”）有关事项公告如下：</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一、</w:t>
      </w:r>
      <w:r w:rsidRPr="001005DA">
        <w:rPr>
          <w:rFonts w:ascii="微软雅黑" w:eastAsia="微软雅黑" w:hAnsi="微软雅黑" w:cs="宋体"/>
          <w:b/>
          <w:bCs/>
          <w:color w:val="333333"/>
          <w:kern w:val="0"/>
          <w:sz w:val="24"/>
          <w:szCs w:val="24"/>
        </w:rPr>
        <w:t>2019</w:t>
      </w:r>
      <w:r w:rsidRPr="001005DA">
        <w:rPr>
          <w:rFonts w:ascii="微软雅黑" w:eastAsia="微软雅黑" w:hAnsi="微软雅黑" w:cs="宋体" w:hint="eastAsia"/>
          <w:b/>
          <w:bCs/>
          <w:color w:val="333333"/>
          <w:kern w:val="0"/>
          <w:sz w:val="24"/>
          <w:szCs w:val="24"/>
        </w:rPr>
        <w:t>年度汇算的内容</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依据税法规定，</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年度终了后，居民个人（以下称“纳税人”）需要汇总</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1</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1</w:t>
      </w:r>
      <w:r w:rsidRPr="001005DA">
        <w:rPr>
          <w:rFonts w:ascii="微软雅黑" w:eastAsia="微软雅黑" w:hAnsi="微软雅黑" w:cs="宋体" w:hint="eastAsia"/>
          <w:color w:val="333333"/>
          <w:kern w:val="0"/>
          <w:sz w:val="24"/>
          <w:szCs w:val="24"/>
        </w:rPr>
        <w:t>日至</w:t>
      </w:r>
      <w:r w:rsidRPr="001005DA">
        <w:rPr>
          <w:rFonts w:ascii="微软雅黑" w:eastAsia="微软雅黑" w:hAnsi="微软雅黑" w:cs="宋体"/>
          <w:color w:val="333333"/>
          <w:kern w:val="0"/>
          <w:sz w:val="24"/>
          <w:szCs w:val="24"/>
        </w:rPr>
        <w:t>12</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31</w:t>
      </w:r>
      <w:r w:rsidRPr="001005DA">
        <w:rPr>
          <w:rFonts w:ascii="微软雅黑" w:eastAsia="微软雅黑" w:hAnsi="微软雅黑" w:cs="宋体" w:hint="eastAsia"/>
          <w:color w:val="333333"/>
          <w:kern w:val="0"/>
          <w:sz w:val="24"/>
          <w:szCs w:val="24"/>
        </w:rPr>
        <w:t>日取得的工资薪金、劳务报酬、稿酬、特许权使用费等四项所得（以下称“综合所得”）的收入额，减除费用</w:t>
      </w:r>
      <w:r w:rsidRPr="001005DA">
        <w:rPr>
          <w:rFonts w:ascii="微软雅黑" w:eastAsia="微软雅黑" w:hAnsi="微软雅黑" w:cs="宋体"/>
          <w:color w:val="333333"/>
          <w:kern w:val="0"/>
          <w:sz w:val="24"/>
          <w:szCs w:val="24"/>
        </w:rPr>
        <w:t>6</w:t>
      </w:r>
      <w:r w:rsidRPr="001005DA">
        <w:rPr>
          <w:rFonts w:ascii="微软雅黑" w:eastAsia="微软雅黑" w:hAnsi="微软雅黑" w:cs="宋体" w:hint="eastAsia"/>
          <w:color w:val="333333"/>
          <w:kern w:val="0"/>
          <w:sz w:val="24"/>
          <w:szCs w:val="24"/>
        </w:rPr>
        <w:t>万元以及专项扣除、专项附加扣除、依法确定的其他扣除和符合条件的公益慈善事业捐赠（以下简称“捐赠”）后，适用综合所得个人所得税税率并减去速算扣除数（税率表见附件），计算本年度最终应纳税额，再减去</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年度已预缴税额，得出本年度应退或应补税额，向税务机关申报并办理退税或补税。具体计算公式如下：</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b/>
          <w:color w:val="333333"/>
          <w:kern w:val="0"/>
          <w:sz w:val="24"/>
          <w:szCs w:val="24"/>
        </w:rPr>
        <w:t>2019</w:t>
      </w:r>
      <w:r w:rsidRPr="001005DA">
        <w:rPr>
          <w:rFonts w:ascii="微软雅黑" w:eastAsia="微软雅黑" w:hAnsi="微软雅黑" w:cs="宋体" w:hint="eastAsia"/>
          <w:b/>
          <w:color w:val="333333"/>
          <w:kern w:val="0"/>
          <w:sz w:val="24"/>
          <w:szCs w:val="24"/>
        </w:rPr>
        <w:t>年度汇算应退或应补税额</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（综合所得收入额</w:t>
      </w:r>
      <w:r w:rsidRPr="001005DA">
        <w:rPr>
          <w:rFonts w:ascii="微软雅黑" w:eastAsia="微软雅黑" w:hAnsi="微软雅黑" w:cs="宋体"/>
          <w:color w:val="333333"/>
          <w:kern w:val="0"/>
          <w:sz w:val="24"/>
          <w:szCs w:val="24"/>
        </w:rPr>
        <w:t>-60000</w:t>
      </w:r>
      <w:r w:rsidRPr="001005DA">
        <w:rPr>
          <w:rFonts w:ascii="微软雅黑" w:eastAsia="微软雅黑" w:hAnsi="微软雅黑" w:cs="宋体" w:hint="eastAsia"/>
          <w:color w:val="333333"/>
          <w:kern w:val="0"/>
          <w:sz w:val="24"/>
          <w:szCs w:val="24"/>
        </w:rPr>
        <w:t>元</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“三险一金”等专项扣除</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子女教育等专项附加扣除</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依法确定的其他扣除</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捐赠）×适用税率</w:t>
      </w:r>
      <w:r w:rsidRPr="001005DA">
        <w:rPr>
          <w:rFonts w:ascii="微软雅黑" w:eastAsia="微软雅黑" w:hAnsi="微软雅黑" w:cs="宋体"/>
          <w:color w:val="333333"/>
          <w:kern w:val="0"/>
          <w:sz w:val="24"/>
          <w:szCs w:val="24"/>
        </w:rPr>
        <w:t>-</w:t>
      </w:r>
      <w:r w:rsidRPr="001005DA">
        <w:rPr>
          <w:rFonts w:ascii="微软雅黑" w:eastAsia="微软雅黑" w:hAnsi="微软雅黑" w:cs="宋体" w:hint="eastAsia"/>
          <w:color w:val="333333"/>
          <w:kern w:val="0"/>
          <w:sz w:val="24"/>
          <w:szCs w:val="24"/>
        </w:rPr>
        <w:t>速算扣除数</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年已预缴税额</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依据税法规定，</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年度汇算仅计算并结清本年度综合所得的应退或应补税款，不涉及以前或往后年度，也不涉及财产租赁等分类所得，以及纳税人按规定选择不并入综合所得计算纳税的全年一次性奖金等所得。</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二、无需办理年度汇算的纳税人</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经国务院批准，依据《财政部</w:t>
      </w:r>
      <w:r w:rsidRPr="001005DA">
        <w:rPr>
          <w:rFonts w:ascii="微软雅黑" w:eastAsia="微软雅黑" w:hAnsi="微软雅黑" w:cs="宋体" w:hint="eastAsia"/>
          <w:color w:val="333333"/>
          <w:kern w:val="0"/>
          <w:sz w:val="24"/>
          <w:szCs w:val="24"/>
        </w:rPr>
        <w:t> </w:t>
      </w:r>
      <w:r w:rsidRPr="001005DA">
        <w:rPr>
          <w:rFonts w:ascii="微软雅黑" w:eastAsia="微软雅黑" w:hAnsi="微软雅黑" w:cs="宋体" w:hint="eastAsia"/>
          <w:color w:val="333333"/>
          <w:kern w:val="0"/>
          <w:sz w:val="24"/>
          <w:szCs w:val="24"/>
        </w:rPr>
        <w:t>税务总局关于个人所得税综合所得汇算清缴涉及有关政策问题的公告》（</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年第</w:t>
      </w:r>
      <w:r w:rsidRPr="001005DA">
        <w:rPr>
          <w:rFonts w:ascii="微软雅黑" w:eastAsia="微软雅黑" w:hAnsi="微软雅黑" w:cs="宋体"/>
          <w:color w:val="333333"/>
          <w:kern w:val="0"/>
          <w:sz w:val="24"/>
          <w:szCs w:val="24"/>
        </w:rPr>
        <w:t>94</w:t>
      </w:r>
      <w:r w:rsidRPr="001005DA">
        <w:rPr>
          <w:rFonts w:ascii="微软雅黑" w:eastAsia="微软雅黑" w:hAnsi="微软雅黑" w:cs="宋体" w:hint="eastAsia"/>
          <w:color w:val="333333"/>
          <w:kern w:val="0"/>
          <w:sz w:val="24"/>
          <w:szCs w:val="24"/>
        </w:rPr>
        <w:t>号）有关规定，纳税人在</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年度已依法预缴个人所得税且符合下列情形之一的，无需办理年度汇算：</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（一）纳税人年度汇算</w:t>
      </w:r>
      <w:r w:rsidRPr="001005DA">
        <w:rPr>
          <w:rFonts w:ascii="微软雅黑" w:eastAsia="微软雅黑" w:hAnsi="微软雅黑" w:cs="宋体" w:hint="eastAsia"/>
          <w:color w:val="FF0000"/>
          <w:kern w:val="0"/>
          <w:sz w:val="24"/>
          <w:szCs w:val="24"/>
        </w:rPr>
        <w:t>需补税但年度综合所得收入不超过</w:t>
      </w:r>
      <w:r w:rsidRPr="001005DA">
        <w:rPr>
          <w:rFonts w:ascii="微软雅黑" w:eastAsia="微软雅黑" w:hAnsi="微软雅黑" w:cs="宋体"/>
          <w:color w:val="FF0000"/>
          <w:kern w:val="0"/>
          <w:sz w:val="24"/>
          <w:szCs w:val="24"/>
        </w:rPr>
        <w:t>12</w:t>
      </w:r>
      <w:r w:rsidRPr="001005DA">
        <w:rPr>
          <w:rFonts w:ascii="微软雅黑" w:eastAsia="微软雅黑" w:hAnsi="微软雅黑" w:cs="宋体" w:hint="eastAsia"/>
          <w:color w:val="FF0000"/>
          <w:kern w:val="0"/>
          <w:sz w:val="24"/>
          <w:szCs w:val="24"/>
        </w:rPr>
        <w:t>万元的；</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（二）纳税人年度汇算</w:t>
      </w:r>
      <w:r w:rsidRPr="001005DA">
        <w:rPr>
          <w:rFonts w:ascii="微软雅黑" w:eastAsia="微软雅黑" w:hAnsi="微软雅黑" w:cs="宋体" w:hint="eastAsia"/>
          <w:color w:val="FF0000"/>
          <w:kern w:val="0"/>
          <w:sz w:val="24"/>
          <w:szCs w:val="24"/>
        </w:rPr>
        <w:t>需补税金额不超过</w:t>
      </w:r>
      <w:r w:rsidRPr="001005DA">
        <w:rPr>
          <w:rFonts w:ascii="微软雅黑" w:eastAsia="微软雅黑" w:hAnsi="微软雅黑" w:cs="宋体"/>
          <w:color w:val="FF0000"/>
          <w:kern w:val="0"/>
          <w:sz w:val="24"/>
          <w:szCs w:val="24"/>
        </w:rPr>
        <w:t>400</w:t>
      </w:r>
      <w:r w:rsidRPr="001005DA">
        <w:rPr>
          <w:rFonts w:ascii="微软雅黑" w:eastAsia="微软雅黑" w:hAnsi="微软雅黑" w:cs="宋体" w:hint="eastAsia"/>
          <w:color w:val="FF0000"/>
          <w:kern w:val="0"/>
          <w:sz w:val="24"/>
          <w:szCs w:val="24"/>
        </w:rPr>
        <w:t>元的；</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FF0000"/>
          <w:kern w:val="0"/>
          <w:sz w:val="24"/>
          <w:szCs w:val="24"/>
        </w:rPr>
      </w:pPr>
      <w:r w:rsidRPr="001005DA">
        <w:rPr>
          <w:rFonts w:ascii="微软雅黑" w:eastAsia="微软雅黑" w:hAnsi="微软雅黑" w:cs="宋体" w:hint="eastAsia"/>
          <w:color w:val="333333"/>
          <w:kern w:val="0"/>
          <w:sz w:val="24"/>
          <w:szCs w:val="24"/>
        </w:rPr>
        <w:t>（三）纳税人</w:t>
      </w:r>
      <w:r w:rsidRPr="001005DA">
        <w:rPr>
          <w:rFonts w:ascii="微软雅黑" w:eastAsia="微软雅黑" w:hAnsi="微软雅黑" w:cs="宋体" w:hint="eastAsia"/>
          <w:color w:val="FF0000"/>
          <w:kern w:val="0"/>
          <w:sz w:val="24"/>
          <w:szCs w:val="24"/>
        </w:rPr>
        <w:t>已预缴税额与年度应纳税额一致</w:t>
      </w:r>
      <w:r w:rsidRPr="001005DA">
        <w:rPr>
          <w:rFonts w:ascii="微软雅黑" w:eastAsia="微软雅黑" w:hAnsi="微软雅黑" w:cs="宋体" w:hint="eastAsia"/>
          <w:color w:val="333333"/>
          <w:kern w:val="0"/>
          <w:sz w:val="24"/>
          <w:szCs w:val="24"/>
        </w:rPr>
        <w:t>或者</w:t>
      </w:r>
      <w:r w:rsidRPr="001005DA">
        <w:rPr>
          <w:rFonts w:ascii="微软雅黑" w:eastAsia="微软雅黑" w:hAnsi="微软雅黑" w:cs="宋体" w:hint="eastAsia"/>
          <w:color w:val="FF0000"/>
          <w:kern w:val="0"/>
          <w:sz w:val="24"/>
          <w:szCs w:val="24"/>
        </w:rPr>
        <w:t>不申请年度汇算退税的。</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三、需要办理年度汇算的纳税人</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依据税法规定，符合下列情形之一的，纳税人需要办理年度汇算：</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color w:val="333333"/>
          <w:kern w:val="0"/>
          <w:sz w:val="24"/>
          <w:szCs w:val="24"/>
        </w:rPr>
        <w:t>（一）</w:t>
      </w:r>
      <w:r w:rsidRPr="001005DA">
        <w:rPr>
          <w:rFonts w:ascii="微软雅黑" w:eastAsia="微软雅黑" w:hAnsi="微软雅黑" w:cs="宋体"/>
          <w:b/>
          <w:color w:val="333333"/>
          <w:kern w:val="0"/>
          <w:sz w:val="24"/>
          <w:szCs w:val="24"/>
        </w:rPr>
        <w:t>2019</w:t>
      </w:r>
      <w:r w:rsidRPr="001005DA">
        <w:rPr>
          <w:rFonts w:ascii="微软雅黑" w:eastAsia="微软雅黑" w:hAnsi="微软雅黑" w:cs="宋体" w:hint="eastAsia"/>
          <w:b/>
          <w:color w:val="333333"/>
          <w:kern w:val="0"/>
          <w:sz w:val="24"/>
          <w:szCs w:val="24"/>
        </w:rPr>
        <w:t>年度已预缴税额大于年度应纳税额且申请退税的。</w:t>
      </w:r>
      <w:r w:rsidRPr="001005DA">
        <w:rPr>
          <w:rFonts w:ascii="微软雅黑" w:eastAsia="微软雅黑" w:hAnsi="微软雅黑" w:cs="宋体" w:hint="eastAsia"/>
          <w:color w:val="333333"/>
          <w:kern w:val="0"/>
          <w:sz w:val="24"/>
          <w:szCs w:val="24"/>
        </w:rPr>
        <w:t>包括</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年度综合所得收入额不超过</w:t>
      </w:r>
      <w:r w:rsidRPr="001005DA">
        <w:rPr>
          <w:rFonts w:ascii="微软雅黑" w:eastAsia="微软雅黑" w:hAnsi="微软雅黑" w:cs="宋体"/>
          <w:color w:val="333333"/>
          <w:kern w:val="0"/>
          <w:sz w:val="24"/>
          <w:szCs w:val="24"/>
        </w:rPr>
        <w:t>6</w:t>
      </w:r>
      <w:r w:rsidRPr="001005DA">
        <w:rPr>
          <w:rFonts w:ascii="微软雅黑" w:eastAsia="微软雅黑" w:hAnsi="微软雅黑" w:cs="宋体" w:hint="eastAsia"/>
          <w:color w:val="333333"/>
          <w:kern w:val="0"/>
          <w:sz w:val="24"/>
          <w:szCs w:val="24"/>
        </w:rPr>
        <w:t>万元但已预缴个人所得税；年度中间劳务报酬、稿酬、特许权使用费适用的预扣率高于综合所得年适用税率；预缴税款时，未申报扣除或未足额扣除减除费用、专项扣除、专项附加扣除、依法确定的其他扣除或捐赠，以及未申报享受或未足额享受综合所得税收优惠等情形。</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color w:val="333333"/>
          <w:kern w:val="0"/>
          <w:sz w:val="24"/>
          <w:szCs w:val="24"/>
        </w:rPr>
        <w:t>（二）</w:t>
      </w:r>
      <w:r w:rsidRPr="001005DA">
        <w:rPr>
          <w:rFonts w:ascii="微软雅黑" w:eastAsia="微软雅黑" w:hAnsi="微软雅黑" w:cs="宋体"/>
          <w:b/>
          <w:color w:val="333333"/>
          <w:kern w:val="0"/>
          <w:sz w:val="24"/>
          <w:szCs w:val="24"/>
        </w:rPr>
        <w:t>2019</w:t>
      </w:r>
      <w:r w:rsidRPr="001005DA">
        <w:rPr>
          <w:rFonts w:ascii="微软雅黑" w:eastAsia="微软雅黑" w:hAnsi="微软雅黑" w:cs="宋体" w:hint="eastAsia"/>
          <w:b/>
          <w:color w:val="333333"/>
          <w:kern w:val="0"/>
          <w:sz w:val="24"/>
          <w:szCs w:val="24"/>
        </w:rPr>
        <w:t>年度综合所得收入超过</w:t>
      </w:r>
      <w:r w:rsidRPr="001005DA">
        <w:rPr>
          <w:rFonts w:ascii="微软雅黑" w:eastAsia="微软雅黑" w:hAnsi="微软雅黑" w:cs="宋体"/>
          <w:b/>
          <w:color w:val="333333"/>
          <w:kern w:val="0"/>
          <w:sz w:val="24"/>
          <w:szCs w:val="24"/>
        </w:rPr>
        <w:t>12</w:t>
      </w:r>
      <w:r w:rsidRPr="001005DA">
        <w:rPr>
          <w:rFonts w:ascii="微软雅黑" w:eastAsia="微软雅黑" w:hAnsi="微软雅黑" w:cs="宋体" w:hint="eastAsia"/>
          <w:b/>
          <w:color w:val="333333"/>
          <w:kern w:val="0"/>
          <w:sz w:val="24"/>
          <w:szCs w:val="24"/>
        </w:rPr>
        <w:t>万元且需要补税金额超过</w:t>
      </w:r>
      <w:r w:rsidRPr="001005DA">
        <w:rPr>
          <w:rFonts w:ascii="微软雅黑" w:eastAsia="微软雅黑" w:hAnsi="微软雅黑" w:cs="宋体"/>
          <w:b/>
          <w:color w:val="333333"/>
          <w:kern w:val="0"/>
          <w:sz w:val="24"/>
          <w:szCs w:val="24"/>
        </w:rPr>
        <w:t>400</w:t>
      </w:r>
      <w:r w:rsidRPr="001005DA">
        <w:rPr>
          <w:rFonts w:ascii="微软雅黑" w:eastAsia="微软雅黑" w:hAnsi="微软雅黑" w:cs="宋体" w:hint="eastAsia"/>
          <w:b/>
          <w:color w:val="333333"/>
          <w:kern w:val="0"/>
          <w:sz w:val="24"/>
          <w:szCs w:val="24"/>
        </w:rPr>
        <w:t>元的。</w:t>
      </w:r>
      <w:r w:rsidRPr="001005DA">
        <w:rPr>
          <w:rFonts w:ascii="微软雅黑" w:eastAsia="微软雅黑" w:hAnsi="微软雅黑" w:cs="宋体" w:hint="eastAsia"/>
          <w:color w:val="333333"/>
          <w:kern w:val="0"/>
          <w:sz w:val="24"/>
          <w:szCs w:val="24"/>
        </w:rPr>
        <w:t>包括取得两处及以上综合所得，合并后适用税率提高导致已预缴税额小于年度应纳税额等情形。</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四、可享受的税前扣除</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下列未申报扣除或未足额扣除的税前扣除项目，纳税人可在年度汇算期间办理扣除或补充扣除：</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（一）纳税人及其配偶、未成年子女在</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年度发生的，符合条件的大病医疗支出；</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（二）纳税人在</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年度未申报享受或未足额享受的子女教育、继续教育、住房贷款利息或住房租金、赡养老人专项附加扣除，以及减除费用、专项扣除、依法确定的其他扣除；</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（三）纳税人在</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年度发生的符合条件的捐赠支出。</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五、办理时间</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纳税人办理</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年度汇算的时间为</w:t>
      </w:r>
      <w:r w:rsidRPr="001005DA">
        <w:rPr>
          <w:rFonts w:ascii="微软雅黑" w:eastAsia="微软雅黑" w:hAnsi="微软雅黑" w:cs="宋体"/>
          <w:color w:val="333333"/>
          <w:kern w:val="0"/>
          <w:sz w:val="24"/>
          <w:szCs w:val="24"/>
        </w:rPr>
        <w:t>2020</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3</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1</w:t>
      </w:r>
      <w:r w:rsidRPr="001005DA">
        <w:rPr>
          <w:rFonts w:ascii="微软雅黑" w:eastAsia="微软雅黑" w:hAnsi="微软雅黑" w:cs="宋体" w:hint="eastAsia"/>
          <w:color w:val="333333"/>
          <w:kern w:val="0"/>
          <w:sz w:val="24"/>
          <w:szCs w:val="24"/>
        </w:rPr>
        <w:t>日至</w:t>
      </w:r>
      <w:r w:rsidRPr="001005DA">
        <w:rPr>
          <w:rFonts w:ascii="微软雅黑" w:eastAsia="微软雅黑" w:hAnsi="微软雅黑" w:cs="宋体"/>
          <w:color w:val="333333"/>
          <w:kern w:val="0"/>
          <w:sz w:val="24"/>
          <w:szCs w:val="24"/>
        </w:rPr>
        <w:t>6</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30</w:t>
      </w:r>
      <w:r w:rsidRPr="001005DA">
        <w:rPr>
          <w:rFonts w:ascii="微软雅黑" w:eastAsia="微软雅黑" w:hAnsi="微软雅黑" w:cs="宋体" w:hint="eastAsia"/>
          <w:color w:val="333333"/>
          <w:kern w:val="0"/>
          <w:sz w:val="24"/>
          <w:szCs w:val="24"/>
        </w:rPr>
        <w:t>日。在中国境内无住所的纳税人在</w:t>
      </w:r>
      <w:r w:rsidRPr="001005DA">
        <w:rPr>
          <w:rFonts w:ascii="微软雅黑" w:eastAsia="微软雅黑" w:hAnsi="微软雅黑" w:cs="宋体"/>
          <w:color w:val="333333"/>
          <w:kern w:val="0"/>
          <w:sz w:val="24"/>
          <w:szCs w:val="24"/>
        </w:rPr>
        <w:t>2020</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3</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1</w:t>
      </w:r>
      <w:r w:rsidRPr="001005DA">
        <w:rPr>
          <w:rFonts w:ascii="微软雅黑" w:eastAsia="微软雅黑" w:hAnsi="微软雅黑" w:cs="宋体" w:hint="eastAsia"/>
          <w:color w:val="333333"/>
          <w:kern w:val="0"/>
          <w:sz w:val="24"/>
          <w:szCs w:val="24"/>
        </w:rPr>
        <w:t>日前离境的，可以在离境前办理年度汇算。</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六、办理方式</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纳税人可自主选择下列办理方式：</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（一）自行办理年度汇算。</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（二）通过取得工资薪金或连续性取得劳务报酬所得的扣缴义务人代为办理。纳税人向扣缴义务人提出代办要求的，扣缴义务人应当代为办理，或者培训、辅导纳税人通过网上税务局（包括手机个人所得税</w:t>
      </w:r>
      <w:r w:rsidRPr="001005DA">
        <w:rPr>
          <w:rFonts w:ascii="微软雅黑" w:eastAsia="微软雅黑" w:hAnsi="微软雅黑" w:cs="宋体"/>
          <w:color w:val="333333"/>
          <w:kern w:val="0"/>
          <w:sz w:val="24"/>
          <w:szCs w:val="24"/>
        </w:rPr>
        <w:t>APP</w:t>
      </w:r>
      <w:r w:rsidRPr="001005DA">
        <w:rPr>
          <w:rFonts w:ascii="微软雅黑" w:eastAsia="微软雅黑" w:hAnsi="微软雅黑" w:cs="宋体" w:hint="eastAsia"/>
          <w:color w:val="333333"/>
          <w:kern w:val="0"/>
          <w:sz w:val="24"/>
          <w:szCs w:val="24"/>
        </w:rPr>
        <w:t>）完成年度汇算申报和退（补）税。由扣缴义务人代为办理的，纳税人应在</w:t>
      </w:r>
      <w:r w:rsidRPr="001005DA">
        <w:rPr>
          <w:rFonts w:ascii="微软雅黑" w:eastAsia="微软雅黑" w:hAnsi="微软雅黑" w:cs="宋体"/>
          <w:color w:val="333333"/>
          <w:kern w:val="0"/>
          <w:sz w:val="24"/>
          <w:szCs w:val="24"/>
        </w:rPr>
        <w:t>2020</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4</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30</w:t>
      </w:r>
      <w:r w:rsidRPr="001005DA">
        <w:rPr>
          <w:rFonts w:ascii="微软雅黑" w:eastAsia="微软雅黑" w:hAnsi="微软雅黑" w:cs="宋体" w:hint="eastAsia"/>
          <w:color w:val="333333"/>
          <w:kern w:val="0"/>
          <w:sz w:val="24"/>
          <w:szCs w:val="24"/>
        </w:rPr>
        <w:t>日前与扣缴义务人进行书面确认，补充提供其</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年度在本单位以外取得的综合所得收入、相关扣除、享受税收优惠等信息资料，并对所提交信息的真实性、准确性、完整性负责。</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（三）委托涉税专业服务机构或其他单位及个人（以下称“受托人”）办理，受托人需与纳税人签订授权书。</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扣缴义务人或受托人为纳税人办理年度汇算后，应当及时将办理情况告知纳税人。纳税人发现申报信息存在错误的，可以要求扣缴义务人或受托人办理更正申报，也可自行办理更正申报。</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七、办理渠道</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为便利纳税人，税务机关为纳税人提供高效、快捷的网络办税渠道。纳税人可优先通过网上税务局（包括手机个人所得税</w:t>
      </w:r>
      <w:r w:rsidRPr="001005DA">
        <w:rPr>
          <w:rFonts w:ascii="微软雅黑" w:eastAsia="微软雅黑" w:hAnsi="微软雅黑" w:cs="宋体"/>
          <w:color w:val="333333"/>
          <w:kern w:val="0"/>
          <w:sz w:val="24"/>
          <w:szCs w:val="24"/>
        </w:rPr>
        <w:t>APP</w:t>
      </w:r>
      <w:r w:rsidRPr="001005DA">
        <w:rPr>
          <w:rFonts w:ascii="微软雅黑" w:eastAsia="微软雅黑" w:hAnsi="微软雅黑" w:cs="宋体" w:hint="eastAsia"/>
          <w:color w:val="333333"/>
          <w:kern w:val="0"/>
          <w:sz w:val="24"/>
          <w:szCs w:val="24"/>
        </w:rPr>
        <w:t>）办理年度汇算，税务机关将按规定为纳税人提供申报表预填服务；不方便通过上述方式办理的，也可以通过邮寄方式或到办税服务厅办理。</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选择邮寄申报的，纳税人需将申报表寄送至任职受雇单位（没有任职受雇单位的，为户籍或者经常居住地）所在省、自治区、直辖市、计划单列市税务局公告指定的税务机关。</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八、申报信息及资料留存</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办理年度汇算时，除向税务机关报送年度汇算申报表外，如需修改本人相关基础信息，新增享受扣除或者税收优惠的，还应按规定一并填报相关信息。填报的信息，纳税人需仔细核对，确保真实、准确、完整。</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纳税人以及代办年度汇算的扣缴义务人，需将年度汇算申报表以及与纳税人综合所得收入、扣除、已缴税额或税收优惠等相关资料，自年度汇算期结束之日起留存</w:t>
      </w:r>
      <w:r w:rsidRPr="001005DA">
        <w:rPr>
          <w:rFonts w:ascii="微软雅黑" w:eastAsia="微软雅黑" w:hAnsi="微软雅黑" w:cs="宋体"/>
          <w:color w:val="333333"/>
          <w:kern w:val="0"/>
          <w:sz w:val="24"/>
          <w:szCs w:val="24"/>
        </w:rPr>
        <w:t>5</w:t>
      </w:r>
      <w:r w:rsidRPr="001005DA">
        <w:rPr>
          <w:rFonts w:ascii="微软雅黑" w:eastAsia="微软雅黑" w:hAnsi="微软雅黑" w:cs="宋体" w:hint="eastAsia"/>
          <w:color w:val="333333"/>
          <w:kern w:val="0"/>
          <w:sz w:val="24"/>
          <w:szCs w:val="24"/>
        </w:rPr>
        <w:t>年。</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九、接受年度汇算申报的税务机关</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按照方便就近原则，纳税人自行办理或受托人为纳税人代为办理</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汇算的，向纳税人任职受雇单位所在地的主管税务机关申报；有两处及以上任职受雇单位的，可自主选择向其中一处单位所在地的主管税务机关申报。纳税人没有任职受雇单位的，向其户籍所在地或者经常居住地的主管税务机关申报。</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扣缴义务人在年度汇算期内为纳税人办理年度汇算的，向扣缴义务人的主管税务机关申报。</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十、年度汇算的退税、补税</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申请年度汇算退税，应当提供其在中国境内开设的符合条件的银行账户。税务机关按规定审核后，按照国库管理有关规定，在本公告第九条确定的接受年度汇算申报的税务机关所在地（即汇算清缴地）就地办理税款退库。纳税人未提供本人有效银行账户，或者提供的信息资料有误的，税务机关将通知纳税人更正，纳税人按要求更正后依法办理退税。</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为方便纳税人获取退税，纳税人</w:t>
      </w: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年度综合所得收入额不超过</w:t>
      </w:r>
      <w:r w:rsidRPr="001005DA">
        <w:rPr>
          <w:rFonts w:ascii="微软雅黑" w:eastAsia="微软雅黑" w:hAnsi="微软雅黑" w:cs="宋体"/>
          <w:color w:val="333333"/>
          <w:kern w:val="0"/>
          <w:sz w:val="24"/>
          <w:szCs w:val="24"/>
        </w:rPr>
        <w:t>6</w:t>
      </w:r>
      <w:r w:rsidRPr="001005DA">
        <w:rPr>
          <w:rFonts w:ascii="微软雅黑" w:eastAsia="微软雅黑" w:hAnsi="微软雅黑" w:cs="宋体" w:hint="eastAsia"/>
          <w:color w:val="333333"/>
          <w:kern w:val="0"/>
          <w:sz w:val="24"/>
          <w:szCs w:val="24"/>
        </w:rPr>
        <w:t>万元且已预缴个人所得税的，税务机关在网上税务局（包括手机个人所得税</w:t>
      </w:r>
      <w:r w:rsidRPr="001005DA">
        <w:rPr>
          <w:rFonts w:ascii="微软雅黑" w:eastAsia="微软雅黑" w:hAnsi="微软雅黑" w:cs="宋体"/>
          <w:color w:val="333333"/>
          <w:kern w:val="0"/>
          <w:sz w:val="24"/>
          <w:szCs w:val="24"/>
        </w:rPr>
        <w:t>APP</w:t>
      </w:r>
      <w:r w:rsidRPr="001005DA">
        <w:rPr>
          <w:rFonts w:ascii="微软雅黑" w:eastAsia="微软雅黑" w:hAnsi="微软雅黑" w:cs="宋体" w:hint="eastAsia"/>
          <w:color w:val="333333"/>
          <w:kern w:val="0"/>
          <w:sz w:val="24"/>
          <w:szCs w:val="24"/>
        </w:rPr>
        <w:t>）提供便捷退税功能，纳税人可以在</w:t>
      </w:r>
      <w:r w:rsidRPr="001005DA">
        <w:rPr>
          <w:rFonts w:ascii="微软雅黑" w:eastAsia="微软雅黑" w:hAnsi="微软雅黑" w:cs="宋体"/>
          <w:color w:val="333333"/>
          <w:kern w:val="0"/>
          <w:sz w:val="24"/>
          <w:szCs w:val="24"/>
        </w:rPr>
        <w:t>2020</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3</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1</w:t>
      </w:r>
      <w:r w:rsidRPr="001005DA">
        <w:rPr>
          <w:rFonts w:ascii="微软雅黑" w:eastAsia="微软雅黑" w:hAnsi="微软雅黑" w:cs="宋体" w:hint="eastAsia"/>
          <w:color w:val="333333"/>
          <w:kern w:val="0"/>
          <w:sz w:val="24"/>
          <w:szCs w:val="24"/>
        </w:rPr>
        <w:t>日至</w:t>
      </w:r>
      <w:r w:rsidRPr="001005DA">
        <w:rPr>
          <w:rFonts w:ascii="微软雅黑" w:eastAsia="微软雅黑" w:hAnsi="微软雅黑" w:cs="宋体"/>
          <w:color w:val="333333"/>
          <w:kern w:val="0"/>
          <w:sz w:val="24"/>
          <w:szCs w:val="24"/>
        </w:rPr>
        <w:t>5</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31</w:t>
      </w:r>
      <w:r w:rsidRPr="001005DA">
        <w:rPr>
          <w:rFonts w:ascii="微软雅黑" w:eastAsia="微软雅黑" w:hAnsi="微软雅黑" w:cs="宋体" w:hint="eastAsia"/>
          <w:color w:val="333333"/>
          <w:kern w:val="0"/>
          <w:sz w:val="24"/>
          <w:szCs w:val="24"/>
        </w:rPr>
        <w:t>日期间，通过简易申报表办理年度汇算退税。</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纳税人办理年度汇算补税的，可以通过网上银行、办税服务厅</w:t>
      </w:r>
      <w:r w:rsidRPr="001005DA">
        <w:rPr>
          <w:rFonts w:ascii="微软雅黑" w:eastAsia="微软雅黑" w:hAnsi="微软雅黑" w:cs="宋体"/>
          <w:color w:val="333333"/>
          <w:kern w:val="0"/>
          <w:sz w:val="24"/>
          <w:szCs w:val="24"/>
        </w:rPr>
        <w:t>POS</w:t>
      </w:r>
      <w:r w:rsidRPr="001005DA">
        <w:rPr>
          <w:rFonts w:ascii="微软雅黑" w:eastAsia="微软雅黑" w:hAnsi="微软雅黑" w:cs="宋体" w:hint="eastAsia"/>
          <w:color w:val="333333"/>
          <w:kern w:val="0"/>
          <w:sz w:val="24"/>
          <w:szCs w:val="24"/>
        </w:rPr>
        <w:t>机刷卡、银行柜台、非银行支付机构等方式缴纳。</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b/>
          <w:bCs/>
          <w:color w:val="333333"/>
          <w:kern w:val="0"/>
          <w:sz w:val="24"/>
          <w:szCs w:val="24"/>
        </w:rPr>
        <w:t>十一、年度汇算服务</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税务机关推出系列优化服务措施，加强年度汇算的政策解读和操作辅导力度，分类编制办税指引，通俗解释政策口径、专业术语和操作流程，多渠道、多形式开展提示提醒服务，并通过手机个人所得税</w:t>
      </w:r>
      <w:r w:rsidRPr="001005DA">
        <w:rPr>
          <w:rFonts w:ascii="微软雅黑" w:eastAsia="微软雅黑" w:hAnsi="微软雅黑" w:cs="宋体"/>
          <w:color w:val="333333"/>
          <w:kern w:val="0"/>
          <w:sz w:val="24"/>
          <w:szCs w:val="24"/>
        </w:rPr>
        <w:t>APP</w:t>
      </w:r>
      <w:r w:rsidRPr="001005DA">
        <w:rPr>
          <w:rFonts w:ascii="微软雅黑" w:eastAsia="微软雅黑" w:hAnsi="微软雅黑" w:cs="宋体" w:hint="eastAsia"/>
          <w:color w:val="333333"/>
          <w:kern w:val="0"/>
          <w:sz w:val="24"/>
          <w:szCs w:val="24"/>
        </w:rPr>
        <w:t>、网页端、</w:t>
      </w:r>
      <w:r w:rsidRPr="001005DA">
        <w:rPr>
          <w:rFonts w:ascii="微软雅黑" w:eastAsia="微软雅黑" w:hAnsi="微软雅黑" w:cs="宋体"/>
          <w:color w:val="333333"/>
          <w:kern w:val="0"/>
          <w:sz w:val="24"/>
          <w:szCs w:val="24"/>
        </w:rPr>
        <w:t>12366</w:t>
      </w:r>
      <w:r w:rsidRPr="001005DA">
        <w:rPr>
          <w:rFonts w:ascii="微软雅黑" w:eastAsia="微软雅黑" w:hAnsi="微软雅黑" w:cs="宋体" w:hint="eastAsia"/>
          <w:color w:val="333333"/>
          <w:kern w:val="0"/>
          <w:sz w:val="24"/>
          <w:szCs w:val="24"/>
        </w:rPr>
        <w:t>纳税服务热线等渠道提供涉税咨询，帮助纳税人解决办理年度汇算中的疑难问题，积极回应纳税人诉求。</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为合理有序引导纳税人办理年度汇算，避免出现扎堆拥堵，主管税务机关将分批分期通知提醒纳税人在确定的时间段内办理。纳税人如需提前或延后办理的，可与税务机关预约或通过网上税务局（包括手机个人所得税</w:t>
      </w:r>
      <w:r w:rsidRPr="001005DA">
        <w:rPr>
          <w:rFonts w:ascii="微软雅黑" w:eastAsia="微软雅黑" w:hAnsi="微软雅黑" w:cs="宋体"/>
          <w:color w:val="333333"/>
          <w:kern w:val="0"/>
          <w:sz w:val="24"/>
          <w:szCs w:val="24"/>
        </w:rPr>
        <w:t>APP</w:t>
      </w:r>
      <w:r w:rsidRPr="001005DA">
        <w:rPr>
          <w:rFonts w:ascii="微软雅黑" w:eastAsia="微软雅黑" w:hAnsi="微软雅黑" w:cs="宋体" w:hint="eastAsia"/>
          <w:color w:val="333333"/>
          <w:kern w:val="0"/>
          <w:sz w:val="24"/>
          <w:szCs w:val="24"/>
        </w:rPr>
        <w:t>）在法定年度汇算期内办理。对于因年长、行动不便等独立完成年度汇算存在特殊困难的，纳税人提出申请，税务机关可提供个性化年度汇算服务。</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特此公告。</w:t>
      </w:r>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附件：</w:t>
      </w:r>
      <w:hyperlink r:id="rId9" w:tgtFrame="_blank" w:history="1">
        <w:r w:rsidRPr="001005DA">
          <w:rPr>
            <w:rFonts w:ascii="微软雅黑" w:eastAsia="微软雅黑" w:hAnsi="微软雅黑" w:cs="宋体" w:hint="eastAsia"/>
            <w:color w:val="0000FF"/>
            <w:kern w:val="0"/>
            <w:sz w:val="24"/>
            <w:szCs w:val="24"/>
          </w:rPr>
          <w:t>个人所得税税率表（综合所得适用）</w:t>
        </w:r>
      </w:hyperlink>
    </w:p>
    <w:p w:rsidR="00362D24" w:rsidRPr="001005DA" w:rsidRDefault="00362D24" w:rsidP="00142DB8">
      <w:pPr>
        <w:widowControl/>
        <w:shd w:val="clear" w:color="auto" w:fill="FFFFFF"/>
        <w:spacing w:line="540" w:lineRule="atLeast"/>
        <w:ind w:firstLine="480"/>
        <w:rPr>
          <w:rFonts w:ascii="微软雅黑" w:eastAsia="微软雅黑" w:hAnsi="微软雅黑" w:cs="宋体"/>
          <w:color w:val="333333"/>
          <w:kern w:val="0"/>
          <w:sz w:val="24"/>
          <w:szCs w:val="24"/>
        </w:rPr>
      </w:pPr>
    </w:p>
    <w:p w:rsidR="00362D24" w:rsidRPr="001005DA" w:rsidRDefault="00362D24" w:rsidP="00142DB8">
      <w:pPr>
        <w:widowControl/>
        <w:shd w:val="clear" w:color="auto" w:fill="FFFFFF"/>
        <w:spacing w:line="540" w:lineRule="atLeast"/>
        <w:ind w:firstLine="480"/>
        <w:jc w:val="right"/>
        <w:rPr>
          <w:rFonts w:ascii="微软雅黑" w:eastAsia="微软雅黑" w:hAnsi="微软雅黑" w:cs="宋体"/>
          <w:color w:val="333333"/>
          <w:kern w:val="0"/>
          <w:sz w:val="24"/>
          <w:szCs w:val="24"/>
        </w:rPr>
      </w:pPr>
      <w:r w:rsidRPr="001005DA">
        <w:rPr>
          <w:rFonts w:ascii="微软雅黑" w:eastAsia="微软雅黑" w:hAnsi="微软雅黑" w:cs="宋体" w:hint="eastAsia"/>
          <w:color w:val="333333"/>
          <w:kern w:val="0"/>
          <w:sz w:val="24"/>
          <w:szCs w:val="24"/>
        </w:rPr>
        <w:t>国家税务总局</w:t>
      </w:r>
    </w:p>
    <w:p w:rsidR="00362D24" w:rsidRPr="001005DA" w:rsidRDefault="00362D24" w:rsidP="00142DB8">
      <w:pPr>
        <w:widowControl/>
        <w:shd w:val="clear" w:color="auto" w:fill="FFFFFF"/>
        <w:spacing w:line="540" w:lineRule="atLeast"/>
        <w:ind w:firstLine="480"/>
        <w:jc w:val="right"/>
        <w:rPr>
          <w:rFonts w:ascii="微软雅黑" w:eastAsia="微软雅黑" w:hAnsi="微软雅黑" w:cs="宋体"/>
          <w:color w:val="333333"/>
          <w:kern w:val="0"/>
          <w:sz w:val="24"/>
          <w:szCs w:val="24"/>
        </w:rPr>
      </w:pPr>
      <w:r w:rsidRPr="001005DA">
        <w:rPr>
          <w:rFonts w:ascii="微软雅黑" w:eastAsia="微软雅黑" w:hAnsi="微软雅黑" w:cs="宋体"/>
          <w:color w:val="333333"/>
          <w:kern w:val="0"/>
          <w:sz w:val="24"/>
          <w:szCs w:val="24"/>
        </w:rPr>
        <w:t>2019</w:t>
      </w:r>
      <w:r w:rsidRPr="001005DA">
        <w:rPr>
          <w:rFonts w:ascii="微软雅黑" w:eastAsia="微软雅黑" w:hAnsi="微软雅黑" w:cs="宋体" w:hint="eastAsia"/>
          <w:color w:val="333333"/>
          <w:kern w:val="0"/>
          <w:sz w:val="24"/>
          <w:szCs w:val="24"/>
        </w:rPr>
        <w:t>年</w:t>
      </w:r>
      <w:r w:rsidRPr="001005DA">
        <w:rPr>
          <w:rFonts w:ascii="微软雅黑" w:eastAsia="微软雅黑" w:hAnsi="微软雅黑" w:cs="宋体"/>
          <w:color w:val="333333"/>
          <w:kern w:val="0"/>
          <w:sz w:val="24"/>
          <w:szCs w:val="24"/>
        </w:rPr>
        <w:t>12</w:t>
      </w:r>
      <w:r w:rsidRPr="001005DA">
        <w:rPr>
          <w:rFonts w:ascii="微软雅黑" w:eastAsia="微软雅黑" w:hAnsi="微软雅黑" w:cs="宋体" w:hint="eastAsia"/>
          <w:color w:val="333333"/>
          <w:kern w:val="0"/>
          <w:sz w:val="24"/>
          <w:szCs w:val="24"/>
        </w:rPr>
        <w:t>月</w:t>
      </w:r>
      <w:r w:rsidRPr="001005DA">
        <w:rPr>
          <w:rFonts w:ascii="微软雅黑" w:eastAsia="微软雅黑" w:hAnsi="微软雅黑" w:cs="宋体"/>
          <w:color w:val="333333"/>
          <w:kern w:val="0"/>
          <w:sz w:val="24"/>
          <w:szCs w:val="24"/>
        </w:rPr>
        <w:t>31</w:t>
      </w:r>
      <w:r w:rsidRPr="001005DA">
        <w:rPr>
          <w:rFonts w:ascii="微软雅黑" w:eastAsia="微软雅黑" w:hAnsi="微软雅黑" w:cs="宋体" w:hint="eastAsia"/>
          <w:color w:val="333333"/>
          <w:kern w:val="0"/>
          <w:sz w:val="24"/>
          <w:szCs w:val="24"/>
        </w:rPr>
        <w:t>日</w:t>
      </w:r>
    </w:p>
    <w:p w:rsidR="00362D24" w:rsidRPr="001005DA" w:rsidRDefault="00362D24" w:rsidP="00BE551B">
      <w:pPr>
        <w:spacing w:line="360" w:lineRule="auto"/>
        <w:jc w:val="center"/>
        <w:rPr>
          <w:rFonts w:ascii="方正小标宋简体" w:eastAsia="方正小标宋简体" w:hAnsi="黑体"/>
          <w:szCs w:val="32"/>
        </w:rPr>
      </w:pPr>
      <w:r w:rsidRPr="001005DA">
        <w:rPr>
          <w:rFonts w:ascii="方正小标宋简体" w:eastAsia="方正小标宋简体" w:hAnsi="黑体" w:hint="eastAsia"/>
          <w:szCs w:val="32"/>
        </w:rPr>
        <w:t>个人所得税税率表</w:t>
      </w:r>
    </w:p>
    <w:p w:rsidR="00362D24" w:rsidRPr="001005DA" w:rsidRDefault="00362D24" w:rsidP="00BE551B">
      <w:pPr>
        <w:spacing w:line="360" w:lineRule="auto"/>
        <w:jc w:val="center"/>
        <w:rPr>
          <w:rFonts w:ascii="楷体_GB2312" w:eastAsia="楷体_GB2312" w:hAnsi="黑体"/>
          <w:szCs w:val="32"/>
        </w:rPr>
      </w:pPr>
      <w:r w:rsidRPr="001005DA">
        <w:rPr>
          <w:rFonts w:ascii="楷体_GB2312" w:eastAsia="楷体_GB2312" w:hAnsi="黑体" w:hint="eastAsia"/>
          <w:szCs w:val="32"/>
        </w:rPr>
        <w:t>（综合所得适用）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A0"/>
      </w:tblPr>
      <w:tblGrid>
        <w:gridCol w:w="870"/>
        <w:gridCol w:w="3960"/>
        <w:gridCol w:w="1215"/>
        <w:gridCol w:w="2175"/>
      </w:tblGrid>
      <w:tr w:rsidR="00362D24" w:rsidRPr="001005DA" w:rsidTr="00BE551B">
        <w:trPr>
          <w:trHeight w:val="371"/>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hint="eastAsia"/>
                <w:b/>
                <w:kern w:val="0"/>
                <w:sz w:val="24"/>
                <w:lang/>
              </w:rPr>
              <w:t>级数</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hint="eastAsia"/>
                <w:b/>
                <w:kern w:val="0"/>
                <w:sz w:val="24"/>
                <w:lang/>
              </w:rPr>
              <w:t>全年应纳税所得额</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hint="eastAsia"/>
                <w:b/>
                <w:kern w:val="0"/>
                <w:sz w:val="24"/>
                <w:lang/>
              </w:rPr>
              <w:t>税率（</w:t>
            </w:r>
            <w:r w:rsidRPr="001005DA">
              <w:rPr>
                <w:rFonts w:ascii="宋体" w:hAnsi="宋体" w:cs="宋体"/>
                <w:b/>
                <w:kern w:val="0"/>
                <w:sz w:val="24"/>
                <w:lang/>
              </w:rPr>
              <w:t>%</w:t>
            </w:r>
            <w:r w:rsidRPr="001005DA">
              <w:rPr>
                <w:rFonts w:ascii="宋体" w:hAnsi="宋体" w:cs="宋体" w:hint="eastAsia"/>
                <w:b/>
                <w:kern w:val="0"/>
                <w:sz w:val="24"/>
                <w:lang/>
              </w:rPr>
              <w:t>）</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hint="eastAsia"/>
                <w:b/>
                <w:kern w:val="0"/>
                <w:sz w:val="24"/>
                <w:lang/>
              </w:rPr>
              <w:t>速算扣除数</w:t>
            </w:r>
          </w:p>
        </w:tc>
      </w:tr>
      <w:tr w:rsidR="00362D24" w:rsidRPr="001005DA" w:rsidTr="00BE551B">
        <w:trPr>
          <w:trHeight w:val="264"/>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1</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不超过</w:t>
            </w:r>
            <w:r w:rsidRPr="001005DA">
              <w:rPr>
                <w:rFonts w:ascii="宋体" w:hAnsi="宋体" w:cs="宋体"/>
                <w:kern w:val="0"/>
                <w:sz w:val="24"/>
                <w:lang/>
              </w:rPr>
              <w:t>36000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3</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cs="宋体"/>
                <w:kern w:val="0"/>
                <w:sz w:val="24"/>
                <w:lang/>
              </w:rPr>
              <w:t>0</w:t>
            </w:r>
          </w:p>
        </w:tc>
      </w:tr>
      <w:tr w:rsidR="00362D24" w:rsidRPr="001005DA" w:rsidTr="00BE551B">
        <w:trPr>
          <w:trHeight w:val="69"/>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2</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36000</w:t>
            </w:r>
            <w:r w:rsidRPr="001005DA">
              <w:rPr>
                <w:rFonts w:ascii="宋体" w:hAnsi="宋体" w:cs="宋体" w:hint="eastAsia"/>
                <w:kern w:val="0"/>
                <w:sz w:val="24"/>
                <w:lang/>
              </w:rPr>
              <w:t>元至</w:t>
            </w:r>
            <w:r w:rsidRPr="001005DA">
              <w:rPr>
                <w:rFonts w:ascii="宋体" w:hAnsi="宋体" w:cs="宋体"/>
                <w:kern w:val="0"/>
                <w:sz w:val="24"/>
                <w:lang/>
              </w:rPr>
              <w:t>144000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10</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2520</w:t>
            </w:r>
          </w:p>
        </w:tc>
      </w:tr>
      <w:tr w:rsidR="00362D24" w:rsidRPr="001005DA" w:rsidTr="00BE551B">
        <w:trPr>
          <w:trHeight w:val="302"/>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3</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144000</w:t>
            </w:r>
            <w:r w:rsidRPr="001005DA">
              <w:rPr>
                <w:rFonts w:ascii="宋体" w:hAnsi="宋体" w:cs="宋体" w:hint="eastAsia"/>
                <w:kern w:val="0"/>
                <w:sz w:val="24"/>
                <w:lang/>
              </w:rPr>
              <w:t>元至</w:t>
            </w:r>
            <w:r w:rsidRPr="001005DA">
              <w:rPr>
                <w:rFonts w:ascii="宋体" w:hAnsi="宋体" w:cs="宋体"/>
                <w:kern w:val="0"/>
                <w:sz w:val="24"/>
                <w:lang/>
              </w:rPr>
              <w:t>300000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20</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16920</w:t>
            </w:r>
          </w:p>
        </w:tc>
      </w:tr>
      <w:tr w:rsidR="00362D24" w:rsidRPr="001005DA" w:rsidTr="00BE551B">
        <w:trPr>
          <w:trHeight w:val="264"/>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4</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300000</w:t>
            </w:r>
            <w:r w:rsidRPr="001005DA">
              <w:rPr>
                <w:rFonts w:ascii="宋体" w:hAnsi="宋体" w:cs="宋体" w:hint="eastAsia"/>
                <w:kern w:val="0"/>
                <w:sz w:val="24"/>
                <w:lang/>
              </w:rPr>
              <w:t>元至</w:t>
            </w:r>
            <w:r w:rsidRPr="001005DA">
              <w:rPr>
                <w:rFonts w:ascii="宋体" w:hAnsi="宋体" w:cs="宋体"/>
                <w:kern w:val="0"/>
                <w:sz w:val="24"/>
                <w:lang/>
              </w:rPr>
              <w:t>420000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25</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31920</w:t>
            </w:r>
          </w:p>
        </w:tc>
      </w:tr>
      <w:tr w:rsidR="00362D24" w:rsidRPr="001005DA" w:rsidTr="00BE551B">
        <w:trPr>
          <w:trHeight w:val="353"/>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5</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420000</w:t>
            </w:r>
            <w:r w:rsidRPr="001005DA">
              <w:rPr>
                <w:rFonts w:ascii="宋体" w:hAnsi="宋体" w:cs="宋体" w:hint="eastAsia"/>
                <w:kern w:val="0"/>
                <w:sz w:val="24"/>
                <w:lang/>
              </w:rPr>
              <w:t>元至</w:t>
            </w:r>
            <w:r w:rsidRPr="001005DA">
              <w:rPr>
                <w:rFonts w:ascii="宋体" w:hAnsi="宋体" w:cs="宋体"/>
                <w:kern w:val="0"/>
                <w:sz w:val="24"/>
                <w:lang/>
              </w:rPr>
              <w:t>660000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30</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52920</w:t>
            </w:r>
          </w:p>
        </w:tc>
      </w:tr>
      <w:tr w:rsidR="00362D24" w:rsidRPr="001005DA" w:rsidTr="00BE551B">
        <w:trPr>
          <w:trHeight w:val="260"/>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6</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660000</w:t>
            </w:r>
            <w:r w:rsidRPr="001005DA">
              <w:rPr>
                <w:rFonts w:ascii="宋体" w:hAnsi="宋体" w:cs="宋体" w:hint="eastAsia"/>
                <w:kern w:val="0"/>
                <w:sz w:val="24"/>
                <w:lang/>
              </w:rPr>
              <w:t>元至</w:t>
            </w:r>
            <w:r w:rsidRPr="001005DA">
              <w:rPr>
                <w:rFonts w:ascii="宋体" w:hAnsi="宋体" w:cs="宋体"/>
                <w:kern w:val="0"/>
                <w:sz w:val="24"/>
                <w:lang/>
              </w:rPr>
              <w:t>960000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35</w:t>
            </w:r>
          </w:p>
        </w:tc>
        <w:tc>
          <w:tcPr>
            <w:tcW w:w="217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85920</w:t>
            </w:r>
          </w:p>
        </w:tc>
      </w:tr>
      <w:tr w:rsidR="00362D24" w:rsidRPr="00CF09AF" w:rsidTr="00BE551B">
        <w:trPr>
          <w:trHeight w:val="221"/>
          <w:jc w:val="center"/>
        </w:trPr>
        <w:tc>
          <w:tcPr>
            <w:tcW w:w="870"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7</w:t>
            </w:r>
          </w:p>
        </w:tc>
        <w:tc>
          <w:tcPr>
            <w:tcW w:w="3960" w:type="dxa"/>
            <w:tcMar>
              <w:top w:w="0" w:type="dxa"/>
              <w:left w:w="108" w:type="dxa"/>
              <w:bottom w:w="0" w:type="dxa"/>
              <w:right w:w="108" w:type="dxa"/>
            </w:tcMar>
            <w:vAlign w:val="center"/>
          </w:tcPr>
          <w:p w:rsidR="00362D24" w:rsidRPr="001005DA" w:rsidRDefault="00362D24">
            <w:pPr>
              <w:widowControl/>
              <w:spacing w:before="240" w:line="360" w:lineRule="auto"/>
              <w:rPr>
                <w:rFonts w:ascii="宋体"/>
                <w:sz w:val="32"/>
              </w:rPr>
            </w:pPr>
            <w:r w:rsidRPr="001005DA">
              <w:rPr>
                <w:rFonts w:ascii="宋体" w:hAnsi="宋体" w:cs="宋体" w:hint="eastAsia"/>
                <w:kern w:val="0"/>
                <w:sz w:val="24"/>
                <w:lang/>
              </w:rPr>
              <w:t>超过</w:t>
            </w:r>
            <w:r w:rsidRPr="001005DA">
              <w:rPr>
                <w:rFonts w:ascii="宋体" w:hAnsi="宋体" w:cs="宋体"/>
                <w:kern w:val="0"/>
                <w:sz w:val="24"/>
                <w:lang/>
              </w:rPr>
              <w:t>960000</w:t>
            </w:r>
            <w:r w:rsidRPr="001005DA">
              <w:rPr>
                <w:rFonts w:ascii="宋体" w:hAnsi="宋体" w:cs="宋体" w:hint="eastAsia"/>
                <w:kern w:val="0"/>
                <w:sz w:val="24"/>
                <w:lang/>
              </w:rPr>
              <w:t>元的</w:t>
            </w:r>
          </w:p>
        </w:tc>
        <w:tc>
          <w:tcPr>
            <w:tcW w:w="1215" w:type="dxa"/>
            <w:tcMar>
              <w:top w:w="0" w:type="dxa"/>
              <w:left w:w="108" w:type="dxa"/>
              <w:bottom w:w="0" w:type="dxa"/>
              <w:right w:w="108" w:type="dxa"/>
            </w:tcMar>
            <w:vAlign w:val="center"/>
          </w:tcPr>
          <w:p w:rsidR="00362D24" w:rsidRPr="001005DA" w:rsidRDefault="00362D24">
            <w:pPr>
              <w:widowControl/>
              <w:spacing w:before="240" w:line="360" w:lineRule="auto"/>
              <w:jc w:val="center"/>
              <w:rPr>
                <w:rFonts w:ascii="宋体"/>
                <w:sz w:val="32"/>
              </w:rPr>
            </w:pPr>
            <w:r w:rsidRPr="001005DA">
              <w:rPr>
                <w:rFonts w:ascii="宋体" w:hAnsi="宋体" w:cs="宋体"/>
                <w:kern w:val="0"/>
                <w:sz w:val="24"/>
                <w:lang/>
              </w:rPr>
              <w:t>45</w:t>
            </w:r>
          </w:p>
        </w:tc>
        <w:tc>
          <w:tcPr>
            <w:tcW w:w="2175" w:type="dxa"/>
            <w:tcMar>
              <w:top w:w="0" w:type="dxa"/>
              <w:left w:w="108" w:type="dxa"/>
              <w:bottom w:w="0" w:type="dxa"/>
              <w:right w:w="108" w:type="dxa"/>
            </w:tcMar>
            <w:vAlign w:val="center"/>
          </w:tcPr>
          <w:p w:rsidR="00362D24" w:rsidRPr="00CF09AF" w:rsidRDefault="00362D24">
            <w:pPr>
              <w:widowControl/>
              <w:spacing w:before="240" w:line="360" w:lineRule="auto"/>
              <w:jc w:val="center"/>
              <w:rPr>
                <w:rFonts w:ascii="宋体"/>
                <w:sz w:val="32"/>
              </w:rPr>
            </w:pPr>
            <w:r w:rsidRPr="001005DA">
              <w:rPr>
                <w:rFonts w:ascii="宋体" w:hAnsi="宋体" w:cs="宋体"/>
                <w:kern w:val="0"/>
                <w:sz w:val="24"/>
                <w:lang/>
              </w:rPr>
              <w:t>181920</w:t>
            </w:r>
          </w:p>
        </w:tc>
      </w:tr>
    </w:tbl>
    <w:p w:rsidR="00362D24" w:rsidRPr="00BE551B" w:rsidRDefault="00362D24">
      <w:bookmarkStart w:id="0" w:name="_GoBack"/>
      <w:bookmarkEnd w:id="0"/>
    </w:p>
    <w:sectPr w:rsidR="00362D24" w:rsidRPr="00BE551B" w:rsidSect="00EC2D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D24" w:rsidRDefault="00362D24" w:rsidP="00BE551B">
      <w:r>
        <w:separator/>
      </w:r>
    </w:p>
  </w:endnote>
  <w:endnote w:type="continuationSeparator" w:id="0">
    <w:p w:rsidR="00362D24" w:rsidRDefault="00362D24" w:rsidP="00BE55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altName w:val="Arial"/>
    <w:panose1 w:val="020B0503020204020204"/>
    <w:charset w:val="86"/>
    <w:family w:val="swiss"/>
    <w:pitch w:val="variable"/>
    <w:sig w:usb0="80000287" w:usb1="280F3C52" w:usb2="00000016" w:usb3="00000000" w:csb0="0004001F"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D24" w:rsidRDefault="00362D24" w:rsidP="00BE551B">
      <w:r>
        <w:separator/>
      </w:r>
    </w:p>
  </w:footnote>
  <w:footnote w:type="continuationSeparator" w:id="0">
    <w:p w:rsidR="00362D24" w:rsidRDefault="00362D24" w:rsidP="00BE55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CE3"/>
    <w:rsid w:val="00040A2B"/>
    <w:rsid w:val="00090787"/>
    <w:rsid w:val="001005DA"/>
    <w:rsid w:val="0013002C"/>
    <w:rsid w:val="00142DB8"/>
    <w:rsid w:val="00244CE3"/>
    <w:rsid w:val="002568AC"/>
    <w:rsid w:val="00362D24"/>
    <w:rsid w:val="005078F2"/>
    <w:rsid w:val="005A6031"/>
    <w:rsid w:val="006A4E0A"/>
    <w:rsid w:val="00754B79"/>
    <w:rsid w:val="00813B1D"/>
    <w:rsid w:val="00B2596A"/>
    <w:rsid w:val="00BE551B"/>
    <w:rsid w:val="00CE1278"/>
    <w:rsid w:val="00CF09AF"/>
    <w:rsid w:val="00D80746"/>
    <w:rsid w:val="00EC2D50"/>
    <w:rsid w:val="00EE4B41"/>
    <w:rsid w:val="00F0799A"/>
    <w:rsid w:val="00FD40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D5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142DB8"/>
    <w:rPr>
      <w:rFonts w:cs="Times New Roman"/>
      <w:color w:val="333333"/>
      <w:u w:val="none"/>
      <w:effect w:val="none"/>
    </w:rPr>
  </w:style>
  <w:style w:type="paragraph" w:customStyle="1" w:styleId="lanse">
    <w:name w:val="lanse"/>
    <w:basedOn w:val="Normal"/>
    <w:uiPriority w:val="99"/>
    <w:rsid w:val="00142DB8"/>
    <w:pPr>
      <w:widowControl/>
      <w:jc w:val="left"/>
    </w:pPr>
    <w:rPr>
      <w:rFonts w:ascii="宋体" w:hAnsi="宋体" w:cs="宋体"/>
      <w:kern w:val="0"/>
      <w:sz w:val="24"/>
      <w:szCs w:val="24"/>
    </w:rPr>
  </w:style>
  <w:style w:type="character" w:customStyle="1" w:styleId="yanse">
    <w:name w:val="yanse"/>
    <w:basedOn w:val="DefaultParagraphFont"/>
    <w:uiPriority w:val="99"/>
    <w:rsid w:val="00142DB8"/>
    <w:rPr>
      <w:rFonts w:cs="Times New Roman"/>
    </w:rPr>
  </w:style>
  <w:style w:type="paragraph" w:styleId="Header">
    <w:name w:val="header"/>
    <w:basedOn w:val="Normal"/>
    <w:link w:val="HeaderChar"/>
    <w:uiPriority w:val="99"/>
    <w:rsid w:val="00BE551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E551B"/>
    <w:rPr>
      <w:rFonts w:cs="Times New Roman"/>
      <w:sz w:val="18"/>
      <w:szCs w:val="18"/>
    </w:rPr>
  </w:style>
  <w:style w:type="paragraph" w:styleId="Footer">
    <w:name w:val="footer"/>
    <w:basedOn w:val="Normal"/>
    <w:link w:val="FooterChar"/>
    <w:uiPriority w:val="99"/>
    <w:rsid w:val="00BE551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E551B"/>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580291725">
      <w:marLeft w:val="0"/>
      <w:marRight w:val="0"/>
      <w:marTop w:val="0"/>
      <w:marBottom w:val="0"/>
      <w:divBdr>
        <w:top w:val="none" w:sz="0" w:space="0" w:color="auto"/>
        <w:left w:val="none" w:sz="0" w:space="0" w:color="auto"/>
        <w:bottom w:val="none" w:sz="0" w:space="0" w:color="auto"/>
        <w:right w:val="none" w:sz="0" w:space="0" w:color="auto"/>
      </w:divBdr>
    </w:div>
    <w:div w:id="1580291731">
      <w:marLeft w:val="0"/>
      <w:marRight w:val="0"/>
      <w:marTop w:val="0"/>
      <w:marBottom w:val="0"/>
      <w:divBdr>
        <w:top w:val="none" w:sz="0" w:space="0" w:color="auto"/>
        <w:left w:val="none" w:sz="0" w:space="0" w:color="auto"/>
        <w:bottom w:val="none" w:sz="0" w:space="0" w:color="auto"/>
        <w:right w:val="none" w:sz="0" w:space="0" w:color="auto"/>
      </w:divBdr>
      <w:divsChild>
        <w:div w:id="1580291734">
          <w:marLeft w:val="0"/>
          <w:marRight w:val="0"/>
          <w:marTop w:val="100"/>
          <w:marBottom w:val="100"/>
          <w:divBdr>
            <w:top w:val="none" w:sz="0" w:space="0" w:color="auto"/>
            <w:left w:val="none" w:sz="0" w:space="0" w:color="auto"/>
            <w:bottom w:val="none" w:sz="0" w:space="0" w:color="auto"/>
            <w:right w:val="none" w:sz="0" w:space="0" w:color="auto"/>
          </w:divBdr>
          <w:divsChild>
            <w:div w:id="1580291730">
              <w:marLeft w:val="0"/>
              <w:marRight w:val="0"/>
              <w:marTop w:val="0"/>
              <w:marBottom w:val="0"/>
              <w:divBdr>
                <w:top w:val="single" w:sz="6" w:space="0" w:color="DEDCD8"/>
                <w:left w:val="single" w:sz="6" w:space="0" w:color="DEDCD8"/>
                <w:bottom w:val="single" w:sz="6" w:space="0" w:color="DEDCD8"/>
                <w:right w:val="single" w:sz="6" w:space="0" w:color="DEDCD8"/>
              </w:divBdr>
              <w:divsChild>
                <w:div w:id="1580291729">
                  <w:marLeft w:val="0"/>
                  <w:marRight w:val="0"/>
                  <w:marTop w:val="0"/>
                  <w:marBottom w:val="0"/>
                  <w:divBdr>
                    <w:top w:val="none" w:sz="0" w:space="0" w:color="auto"/>
                    <w:left w:val="none" w:sz="0" w:space="0" w:color="auto"/>
                    <w:bottom w:val="single" w:sz="6" w:space="0" w:color="DEDCD8"/>
                    <w:right w:val="none" w:sz="0" w:space="0" w:color="auto"/>
                  </w:divBdr>
                  <w:divsChild>
                    <w:div w:id="1580291726">
                      <w:marLeft w:val="0"/>
                      <w:marRight w:val="0"/>
                      <w:marTop w:val="210"/>
                      <w:marBottom w:val="210"/>
                      <w:divBdr>
                        <w:top w:val="none" w:sz="0" w:space="0" w:color="auto"/>
                        <w:left w:val="none" w:sz="0" w:space="0" w:color="auto"/>
                        <w:bottom w:val="none" w:sz="0" w:space="0" w:color="auto"/>
                        <w:right w:val="none" w:sz="0" w:space="0" w:color="auto"/>
                      </w:divBdr>
                      <w:divsChild>
                        <w:div w:id="1580291723">
                          <w:marLeft w:val="0"/>
                          <w:marRight w:val="0"/>
                          <w:marTop w:val="0"/>
                          <w:marBottom w:val="0"/>
                          <w:divBdr>
                            <w:top w:val="none" w:sz="0" w:space="0" w:color="auto"/>
                            <w:left w:val="none" w:sz="0" w:space="0" w:color="auto"/>
                            <w:bottom w:val="none" w:sz="0" w:space="0" w:color="auto"/>
                            <w:right w:val="none" w:sz="0" w:space="0" w:color="auto"/>
                          </w:divBdr>
                          <w:divsChild>
                            <w:div w:id="1580291724">
                              <w:marLeft w:val="0"/>
                              <w:marRight w:val="0"/>
                              <w:marTop w:val="0"/>
                              <w:marBottom w:val="0"/>
                              <w:divBdr>
                                <w:top w:val="none" w:sz="0" w:space="0" w:color="auto"/>
                                <w:left w:val="none" w:sz="0" w:space="0" w:color="auto"/>
                                <w:bottom w:val="none" w:sz="0" w:space="0" w:color="auto"/>
                                <w:right w:val="none" w:sz="0" w:space="0" w:color="auto"/>
                              </w:divBdr>
                              <w:divsChild>
                                <w:div w:id="1580291735">
                                  <w:marLeft w:val="75"/>
                                  <w:marRight w:val="0"/>
                                  <w:marTop w:val="0"/>
                                  <w:marBottom w:val="0"/>
                                  <w:divBdr>
                                    <w:top w:val="none" w:sz="0" w:space="0" w:color="auto"/>
                                    <w:left w:val="none" w:sz="0" w:space="0" w:color="auto"/>
                                    <w:bottom w:val="none" w:sz="0" w:space="0" w:color="auto"/>
                                    <w:right w:val="none" w:sz="0" w:space="0" w:color="auto"/>
                                  </w:divBdr>
                                  <w:divsChild>
                                    <w:div w:id="1580291727">
                                      <w:marLeft w:val="0"/>
                                      <w:marRight w:val="0"/>
                                      <w:marTop w:val="0"/>
                                      <w:marBottom w:val="0"/>
                                      <w:divBdr>
                                        <w:top w:val="none" w:sz="0" w:space="0" w:color="auto"/>
                                        <w:left w:val="none" w:sz="0" w:space="0" w:color="auto"/>
                                        <w:bottom w:val="none" w:sz="0" w:space="0" w:color="auto"/>
                                        <w:right w:val="none" w:sz="0" w:space="0" w:color="auto"/>
                                      </w:divBdr>
                                      <w:divsChild>
                                        <w:div w:id="158029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9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9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917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webSettings" Target="webSettings.xml"/><Relationship Id="rId7" Type="http://schemas.openxmlformats.org/officeDocument/2006/relationships/hyperlink" Target="javascri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hinatax.gov.cn/chinatax/n810341/n810755/c5142065/5142065/files/84f8df3537a54204828d00954931c2fc.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6</Pages>
  <Words>538</Words>
  <Characters>3071</Characters>
  <Application>Microsoft Office Outlook</Application>
  <DocSecurity>0</DocSecurity>
  <Lines>0</Lines>
  <Paragraphs>0</Paragraphs>
  <ScaleCrop>false</ScaleCrop>
  <Company>FCGNP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高洁</dc:creator>
  <cp:keywords/>
  <dc:description/>
  <cp:lastModifiedBy>广西农科院关于申请调整预算指标的函</cp:lastModifiedBy>
  <cp:revision>8</cp:revision>
  <dcterms:created xsi:type="dcterms:W3CDTF">2020-03-30T03:09:00Z</dcterms:created>
  <dcterms:modified xsi:type="dcterms:W3CDTF">2020-06-15T03:29:00Z</dcterms:modified>
</cp:coreProperties>
</file>